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C1269" w14:textId="2ACA0C32" w:rsidR="001570B4" w:rsidRDefault="001570B4" w:rsidP="001570B4">
      <w:pPr>
        <w:spacing w:after="0" w:line="240" w:lineRule="auto"/>
        <w:jc w:val="center"/>
        <w:rPr>
          <w:b/>
        </w:rPr>
      </w:pPr>
      <w:r>
        <w:rPr>
          <w:b/>
        </w:rPr>
        <w:t>College of Family and Consumer Sciences</w:t>
      </w:r>
    </w:p>
    <w:p w14:paraId="63CD8548" w14:textId="6ACBB1FF" w:rsidR="00DA0511" w:rsidRDefault="003F6BDB" w:rsidP="001570B4">
      <w:pPr>
        <w:spacing w:after="0" w:line="240" w:lineRule="auto"/>
        <w:jc w:val="center"/>
        <w:rPr>
          <w:b/>
        </w:rPr>
      </w:pPr>
      <w:r w:rsidRPr="00E54EA5">
        <w:rPr>
          <w:b/>
        </w:rPr>
        <w:t xml:space="preserve">Instructional </w:t>
      </w:r>
      <w:r w:rsidR="003241B5" w:rsidRPr="00E54EA5">
        <w:rPr>
          <w:b/>
        </w:rPr>
        <w:t>FTE</w:t>
      </w:r>
      <w:r w:rsidRPr="00E54EA5">
        <w:rPr>
          <w:b/>
        </w:rPr>
        <w:t xml:space="preserve"> Buyout Policy</w:t>
      </w:r>
    </w:p>
    <w:p w14:paraId="0418710E" w14:textId="2060A6A6" w:rsidR="001570B4" w:rsidRPr="001570B4" w:rsidRDefault="001570B4" w:rsidP="001570B4">
      <w:pPr>
        <w:spacing w:after="0" w:line="240" w:lineRule="auto"/>
        <w:jc w:val="center"/>
      </w:pPr>
      <w:r>
        <w:t xml:space="preserve">Adopted: </w:t>
      </w:r>
      <w:r w:rsidRPr="001570B4">
        <w:t>November 1, 2021</w:t>
      </w:r>
    </w:p>
    <w:p w14:paraId="3BEC7CA0" w14:textId="77777777" w:rsidR="00161619" w:rsidRDefault="00161619" w:rsidP="00F12DDA">
      <w:pPr>
        <w:spacing w:after="0" w:line="240" w:lineRule="auto"/>
      </w:pPr>
    </w:p>
    <w:p w14:paraId="7B97F4C1" w14:textId="618FC9E7" w:rsidR="003F6BDB" w:rsidRDefault="003F6BDB" w:rsidP="00F12DDA">
      <w:pPr>
        <w:spacing w:after="0" w:line="240" w:lineRule="auto"/>
      </w:pPr>
      <w:r>
        <w:t>Research</w:t>
      </w:r>
      <w:r w:rsidR="006E0C2E">
        <w:t>/</w:t>
      </w:r>
      <w:r>
        <w:t>scholarly activities</w:t>
      </w:r>
      <w:r w:rsidR="006E0C2E">
        <w:t xml:space="preserve"> and outreach</w:t>
      </w:r>
      <w:r>
        <w:t xml:space="preserve"> are highly valued. </w:t>
      </w:r>
      <w:r w:rsidR="00783794">
        <w:t xml:space="preserve">Therefore, faculty in the College of Family and Consumer Sciences are allowed to </w:t>
      </w:r>
      <w:r w:rsidRPr="003F6BDB">
        <w:t xml:space="preserve">buy out instructional time in support of </w:t>
      </w:r>
      <w:r w:rsidR="006E0C2E">
        <w:t xml:space="preserve">outreach, </w:t>
      </w:r>
      <w:r w:rsidRPr="003F6BDB">
        <w:t>research</w:t>
      </w:r>
      <w:r w:rsidR="006E0C2E">
        <w:t>,</w:t>
      </w:r>
      <w:r w:rsidRPr="003F6BDB">
        <w:t xml:space="preserve"> and scholarly activities. However, </w:t>
      </w:r>
      <w:r w:rsidR="00783794">
        <w:t>this</w:t>
      </w:r>
      <w:r w:rsidRPr="003F6BDB">
        <w:t xml:space="preserve"> </w:t>
      </w:r>
      <w:r w:rsidR="006E0C2E">
        <w:t xml:space="preserve">does </w:t>
      </w:r>
      <w:r>
        <w:t>impact our</w:t>
      </w:r>
      <w:r w:rsidRPr="003F6BDB">
        <w:t xml:space="preserve"> instructional program</w:t>
      </w:r>
      <w:r w:rsidR="00783794">
        <w:t>s, which are also highly valued</w:t>
      </w:r>
      <w:r>
        <w:t xml:space="preserve">, so we </w:t>
      </w:r>
      <w:r w:rsidRPr="003F6BDB">
        <w:t>ha</w:t>
      </w:r>
      <w:r>
        <w:t>ve</w:t>
      </w:r>
      <w:r w:rsidRPr="003F6BDB">
        <w:t xml:space="preserve"> set the following policies governing the buy-out of instructional time</w:t>
      </w:r>
      <w:r>
        <w:t xml:space="preserve"> in order to balance th</w:t>
      </w:r>
      <w:r w:rsidR="00783794">
        <w:t>ese priorities</w:t>
      </w:r>
      <w:r w:rsidRPr="003F6BDB">
        <w:t>.</w:t>
      </w:r>
    </w:p>
    <w:p w14:paraId="65C0328F" w14:textId="77777777" w:rsidR="00F12DDA" w:rsidRDefault="00F12DDA" w:rsidP="00F12DDA">
      <w:pPr>
        <w:spacing w:after="0" w:line="240" w:lineRule="auto"/>
      </w:pPr>
    </w:p>
    <w:p w14:paraId="0F957FFC" w14:textId="224FAD83" w:rsidR="003F6BDB" w:rsidRPr="00F12DDA" w:rsidRDefault="003F6BDB" w:rsidP="00F12DDA">
      <w:pPr>
        <w:spacing w:after="0" w:line="240" w:lineRule="auto"/>
        <w:rPr>
          <w:b/>
        </w:rPr>
      </w:pPr>
      <w:r w:rsidRPr="00F12DDA">
        <w:rPr>
          <w:b/>
        </w:rPr>
        <w:t>Procedure</w:t>
      </w:r>
    </w:p>
    <w:p w14:paraId="6BDBEF14" w14:textId="5C098632" w:rsidR="00B46FFA" w:rsidRDefault="00B46FFA" w:rsidP="003513B3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Faculty member submits </w:t>
      </w:r>
      <w:proofErr w:type="gramStart"/>
      <w:r>
        <w:t>request</w:t>
      </w:r>
      <w:r w:rsidR="00CF40E7">
        <w:t xml:space="preserve"> </w:t>
      </w:r>
      <w:r w:rsidR="003513B3">
        <w:t xml:space="preserve"> </w:t>
      </w:r>
      <w:proofErr w:type="gramEnd"/>
      <w:r w:rsidR="003513B3">
        <w:fldChar w:fldCharType="begin"/>
      </w:r>
      <w:r w:rsidR="003513B3">
        <w:instrText xml:space="preserve"> HYPERLINK "</w:instrText>
      </w:r>
      <w:r w:rsidR="003513B3" w:rsidRPr="003513B3">
        <w:instrText>http://www.fcs.uga.edu/docs/FACS_Course_Buyout_Request_Form_v2.pdf</w:instrText>
      </w:r>
      <w:r w:rsidR="003513B3">
        <w:instrText xml:space="preserve">" </w:instrText>
      </w:r>
      <w:r w:rsidR="003513B3">
        <w:fldChar w:fldCharType="separate"/>
      </w:r>
      <w:r w:rsidR="003513B3" w:rsidRPr="00495419">
        <w:rPr>
          <w:rStyle w:val="Hyperlink"/>
        </w:rPr>
        <w:t>http://www.fcs.uga.edu/docs/FACS_Course_Buyout_Request_Form_v2.pdf</w:t>
      </w:r>
      <w:r w:rsidR="003513B3">
        <w:fldChar w:fldCharType="end"/>
      </w:r>
      <w:r w:rsidR="003513B3">
        <w:t xml:space="preserve"> </w:t>
      </w:r>
      <w:bookmarkStart w:id="0" w:name="_GoBack"/>
      <w:bookmarkEnd w:id="0"/>
      <w:r w:rsidR="003513B3">
        <w:t xml:space="preserve">  </w:t>
      </w:r>
      <w:r w:rsidR="000459C1">
        <w:t xml:space="preserve">to </w:t>
      </w:r>
      <w:r>
        <w:t xml:space="preserve">buy-out a portion of their budgeted instructional time to their department head. </w:t>
      </w:r>
    </w:p>
    <w:p w14:paraId="0A2428AD" w14:textId="4C1304FB" w:rsidR="00B46FFA" w:rsidRDefault="00B46FFA" w:rsidP="00F12DDA">
      <w:pPr>
        <w:pStyle w:val="ListParagraph"/>
        <w:numPr>
          <w:ilvl w:val="1"/>
          <w:numId w:val="1"/>
        </w:numPr>
        <w:spacing w:after="0" w:line="240" w:lineRule="auto"/>
      </w:pPr>
      <w:r>
        <w:t>Proposed buy-outs must be brought to the attention of the department head prior to the time a grant proposal is submitted or prior to the time any other type of contractual agreement is entered into by a faculty member.</w:t>
      </w:r>
    </w:p>
    <w:p w14:paraId="11CD9A02" w14:textId="0CA64D8C" w:rsidR="00161619" w:rsidRDefault="00B46FFA" w:rsidP="00F12DDA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="003F6BDB">
        <w:t xml:space="preserve">nstructional buy-out must be </w:t>
      </w:r>
      <w:r w:rsidR="00161619">
        <w:t>approved by</w:t>
      </w:r>
      <w:r w:rsidR="003F6BDB">
        <w:t xml:space="preserve"> the </w:t>
      </w:r>
      <w:r w:rsidR="00161619">
        <w:t xml:space="preserve">department </w:t>
      </w:r>
      <w:r w:rsidR="003F6BDB">
        <w:t>head</w:t>
      </w:r>
      <w:r w:rsidR="00161619">
        <w:t>. Department Head will determine whether the buy-out can be accommodated by the department by:</w:t>
      </w:r>
    </w:p>
    <w:p w14:paraId="35FAE622" w14:textId="7F2E1732" w:rsidR="00161619" w:rsidRDefault="00161619" w:rsidP="00F12DDA">
      <w:pPr>
        <w:pStyle w:val="ListParagraph"/>
        <w:numPr>
          <w:ilvl w:val="1"/>
          <w:numId w:val="1"/>
        </w:numPr>
        <w:spacing w:after="0" w:line="240" w:lineRule="auto"/>
      </w:pPr>
      <w:r>
        <w:t>Evaluating t</w:t>
      </w:r>
      <w:r w:rsidR="003F6BDB">
        <w:t>he impact on the instructional program</w:t>
      </w:r>
      <w:r>
        <w:t xml:space="preserve"> for the proposed semester</w:t>
      </w:r>
    </w:p>
    <w:p w14:paraId="0842B5BD" w14:textId="77777777" w:rsidR="00B46FFA" w:rsidRDefault="00B46FFA" w:rsidP="00F12DD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Weighing the benefits for the requesting faculty member (related to annual review, promotion, </w:t>
      </w:r>
      <w:proofErr w:type="gramStart"/>
      <w:r>
        <w:t>post</w:t>
      </w:r>
      <w:proofErr w:type="gramEnd"/>
      <w:r>
        <w:t xml:space="preserve"> tenure review). </w:t>
      </w:r>
    </w:p>
    <w:p w14:paraId="115E3552" w14:textId="0DB06EA1" w:rsidR="00161619" w:rsidRDefault="00161619" w:rsidP="00F12DDA">
      <w:pPr>
        <w:pStyle w:val="ListParagraph"/>
        <w:numPr>
          <w:ilvl w:val="1"/>
          <w:numId w:val="1"/>
        </w:numPr>
        <w:spacing w:after="0" w:line="240" w:lineRule="auto"/>
      </w:pPr>
      <w:r>
        <w:t>Determin</w:t>
      </w:r>
      <w:r w:rsidR="00B46FFA">
        <w:t>ing</w:t>
      </w:r>
      <w:r>
        <w:t xml:space="preserve"> whether </w:t>
      </w:r>
      <w:r w:rsidR="00B46FFA">
        <w:t xml:space="preserve">quality </w:t>
      </w:r>
      <w:r w:rsidR="003F6BDB">
        <w:t xml:space="preserve">replacement teaching is available and that it is available at a rate that can be accommodated by the buy-out policy. </w:t>
      </w:r>
    </w:p>
    <w:p w14:paraId="76C32959" w14:textId="77777777" w:rsidR="00B46FFA" w:rsidRDefault="00161619" w:rsidP="00F12DDA">
      <w:pPr>
        <w:pStyle w:val="ListParagraph"/>
        <w:numPr>
          <w:ilvl w:val="1"/>
          <w:numId w:val="1"/>
        </w:numPr>
        <w:spacing w:after="0" w:line="240" w:lineRule="auto"/>
      </w:pPr>
      <w:r>
        <w:t>C</w:t>
      </w:r>
      <w:r w:rsidR="003F6BDB">
        <w:t>onsider</w:t>
      </w:r>
      <w:r w:rsidR="00B46FFA">
        <w:t>ing</w:t>
      </w:r>
      <w:r w:rsidR="003F6BDB">
        <w:t xml:space="preserve"> the potential scholarly value of the project</w:t>
      </w:r>
    </w:p>
    <w:p w14:paraId="662D4DB6" w14:textId="18E049DE" w:rsidR="00B46FFA" w:rsidRDefault="00B46FFA" w:rsidP="00F12DDA">
      <w:pPr>
        <w:pStyle w:val="ListParagraph"/>
        <w:numPr>
          <w:ilvl w:val="1"/>
          <w:numId w:val="1"/>
        </w:numPr>
        <w:spacing w:after="0" w:line="240" w:lineRule="auto"/>
      </w:pPr>
      <w:r>
        <w:t>Reviewing</w:t>
      </w:r>
      <w:r w:rsidR="003F6BDB">
        <w:t xml:space="preserve"> </w:t>
      </w:r>
      <w:r>
        <w:t xml:space="preserve">benefits of </w:t>
      </w:r>
      <w:r w:rsidR="003F6BDB">
        <w:t>past buy-outs by the applicant</w:t>
      </w:r>
    </w:p>
    <w:p w14:paraId="69B18168" w14:textId="4F9FE6EE" w:rsidR="00B46FFA" w:rsidRDefault="00B46FFA" w:rsidP="00F12D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Dean must approve. </w:t>
      </w:r>
    </w:p>
    <w:p w14:paraId="446B1479" w14:textId="07B07EF8" w:rsidR="00F12DDA" w:rsidRDefault="00F12DDA" w:rsidP="00F12D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BFO will notify the department via email of approval. </w:t>
      </w:r>
    </w:p>
    <w:p w14:paraId="09AD72CE" w14:textId="77777777" w:rsidR="00F12DDA" w:rsidRDefault="00F12DDA" w:rsidP="00F12DD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BFO will submit the necessary position funding change(s) to release the state funds. </w:t>
      </w:r>
    </w:p>
    <w:p w14:paraId="5CF55A85" w14:textId="2354DCF5" w:rsidR="00F12DDA" w:rsidRDefault="00F12DDA" w:rsidP="00F12DDA">
      <w:pPr>
        <w:pStyle w:val="ListParagraph"/>
        <w:numPr>
          <w:ilvl w:val="1"/>
          <w:numId w:val="1"/>
        </w:numPr>
        <w:spacing w:after="0" w:line="240" w:lineRule="auto"/>
      </w:pPr>
      <w:r>
        <w:t>These released funds will then be distributed out as outlined in the policy and approved buy-out form.</w:t>
      </w:r>
    </w:p>
    <w:p w14:paraId="755BA15D" w14:textId="66E31CBB" w:rsidR="003F6BDB" w:rsidRDefault="00B46FFA" w:rsidP="00F12DDA">
      <w:pPr>
        <w:pStyle w:val="ListParagraph"/>
        <w:numPr>
          <w:ilvl w:val="0"/>
          <w:numId w:val="1"/>
        </w:numPr>
        <w:spacing w:after="0" w:line="240" w:lineRule="auto"/>
      </w:pPr>
      <w:r>
        <w:t>If approved,</w:t>
      </w:r>
      <w:r w:rsidR="003F6BDB">
        <w:t xml:space="preserve"> </w:t>
      </w:r>
      <w:r>
        <w:t>it</w:t>
      </w:r>
      <w:r w:rsidR="003F6BDB">
        <w:t xml:space="preserve"> is the responsibility of the </w:t>
      </w:r>
      <w:r>
        <w:t xml:space="preserve">department </w:t>
      </w:r>
      <w:r w:rsidR="003F6BDB">
        <w:t xml:space="preserve">head to identify </w:t>
      </w:r>
      <w:r>
        <w:t xml:space="preserve">and hire a </w:t>
      </w:r>
      <w:r w:rsidR="003F6BDB">
        <w:t>q</w:t>
      </w:r>
      <w:r>
        <w:t>ualified replacement instructor</w:t>
      </w:r>
      <w:r w:rsidR="003F6BDB">
        <w:t>.</w:t>
      </w:r>
    </w:p>
    <w:p w14:paraId="574A5D2D" w14:textId="77777777" w:rsidR="003F6BDB" w:rsidRDefault="003F6BDB" w:rsidP="00F12DDA">
      <w:pPr>
        <w:spacing w:after="0" w:line="240" w:lineRule="auto"/>
      </w:pPr>
    </w:p>
    <w:p w14:paraId="2F74A197" w14:textId="77777777" w:rsidR="003F6BDB" w:rsidRPr="00F12DDA" w:rsidRDefault="003F6BDB" w:rsidP="00F12DDA">
      <w:pPr>
        <w:spacing w:after="0" w:line="240" w:lineRule="auto"/>
        <w:rPr>
          <w:b/>
        </w:rPr>
      </w:pPr>
      <w:r w:rsidRPr="00F12DDA">
        <w:rPr>
          <w:b/>
        </w:rPr>
        <w:t>Teaching Load</w:t>
      </w:r>
    </w:p>
    <w:p w14:paraId="7EF18651" w14:textId="61D30FBE" w:rsidR="006E74CF" w:rsidRPr="006E0C2E" w:rsidRDefault="003F6BDB" w:rsidP="00F12DDA">
      <w:pPr>
        <w:spacing w:after="0" w:line="240" w:lineRule="auto"/>
        <w:rPr>
          <w:strike/>
        </w:rPr>
      </w:pPr>
      <w:r>
        <w:t>Faculty members can buy out a maximum of one</w:t>
      </w:r>
      <w:r w:rsidR="00F13B88">
        <w:t>-</w:t>
      </w:r>
      <w:r>
        <w:t>half of their standard teaching load</w:t>
      </w:r>
      <w:r w:rsidR="00F12DDA">
        <w:t xml:space="preserve"> per year</w:t>
      </w:r>
      <w:r>
        <w:t>. The department head can choose to calculate the teaching load over a one- or two-year period.</w:t>
      </w:r>
    </w:p>
    <w:p w14:paraId="4ED83449" w14:textId="4C30B06C" w:rsidR="007D24CC" w:rsidRDefault="007D24CC" w:rsidP="00F12DDA">
      <w:pPr>
        <w:spacing w:after="0" w:line="240" w:lineRule="auto"/>
      </w:pPr>
    </w:p>
    <w:p w14:paraId="02ECFFBF" w14:textId="437BF41A" w:rsidR="00C76368" w:rsidRPr="00C76368" w:rsidRDefault="00C76368" w:rsidP="00F12DDA">
      <w:pPr>
        <w:spacing w:after="0" w:line="240" w:lineRule="auto"/>
        <w:rPr>
          <w:b/>
        </w:rPr>
      </w:pPr>
      <w:r w:rsidRPr="00C76368">
        <w:rPr>
          <w:b/>
        </w:rPr>
        <w:t>Source of Funding</w:t>
      </w:r>
    </w:p>
    <w:p w14:paraId="036DD620" w14:textId="0A455839" w:rsidR="00C76368" w:rsidRDefault="00C76368" w:rsidP="00C76368">
      <w:pPr>
        <w:spacing w:after="0" w:line="240" w:lineRule="auto"/>
      </w:pPr>
      <w:r>
        <w:t xml:space="preserve">The source of a buy-out may only be from </w:t>
      </w:r>
      <w:r w:rsidRPr="00C76368">
        <w:rPr>
          <w:u w:val="single"/>
        </w:rPr>
        <w:t xml:space="preserve">external </w:t>
      </w:r>
      <w:r>
        <w:t xml:space="preserve">grants or contracts. Funds expire for use in the same fiscal year as distributed, no carry forward is allowed. </w:t>
      </w:r>
    </w:p>
    <w:p w14:paraId="321173AF" w14:textId="77777777" w:rsidR="00C76368" w:rsidRDefault="00C76368" w:rsidP="00F12DDA">
      <w:pPr>
        <w:spacing w:after="0" w:line="240" w:lineRule="auto"/>
      </w:pPr>
    </w:p>
    <w:p w14:paraId="357F9164" w14:textId="5976C586" w:rsidR="003F6BDB" w:rsidRPr="007D24CC" w:rsidRDefault="003F6BDB" w:rsidP="00F12DDA">
      <w:pPr>
        <w:spacing w:after="0" w:line="240" w:lineRule="auto"/>
        <w:rPr>
          <w:b/>
        </w:rPr>
      </w:pPr>
      <w:r w:rsidRPr="007D24CC">
        <w:rPr>
          <w:b/>
        </w:rPr>
        <w:t xml:space="preserve">Instructional </w:t>
      </w:r>
      <w:r w:rsidR="00284E61">
        <w:rPr>
          <w:b/>
        </w:rPr>
        <w:t>FTE</w:t>
      </w:r>
      <w:r w:rsidR="00284E61" w:rsidRPr="007D24CC">
        <w:rPr>
          <w:b/>
        </w:rPr>
        <w:t xml:space="preserve"> </w:t>
      </w:r>
      <w:r w:rsidRPr="007D24CC">
        <w:rPr>
          <w:b/>
        </w:rPr>
        <w:t>Buy-out Rates</w:t>
      </w:r>
    </w:p>
    <w:p w14:paraId="79F981F7" w14:textId="7AA592A2" w:rsidR="003F6BDB" w:rsidRDefault="003F6BDB" w:rsidP="00F12DDA">
      <w:pPr>
        <w:spacing w:after="0" w:line="240" w:lineRule="auto"/>
      </w:pPr>
      <w:r>
        <w:t xml:space="preserve">The rate for an externally funded instructional buy-out is set at 1/10th of an academic-year salary or 1/12th of a fiscal-year salary per </w:t>
      </w:r>
      <w:r w:rsidR="00F12DDA">
        <w:t xml:space="preserve">three-credit </w:t>
      </w:r>
      <w:r>
        <w:t>course, or its equivalent, plus the corresponding fringe benefit cost.</w:t>
      </w:r>
      <w:r w:rsidR="00284E61">
        <w:t xml:space="preserve"> </w:t>
      </w:r>
      <w:r w:rsidR="001B1088">
        <w:t>The FACS Salary Savings and F &amp; A Return policy will apply to any remaining distributions</w:t>
      </w:r>
      <w:r w:rsidR="00563A9C">
        <w:t>.</w:t>
      </w:r>
      <w:r w:rsidR="001B1088">
        <w:t xml:space="preserve">  </w:t>
      </w:r>
      <w:r w:rsidR="00284E61">
        <w:t xml:space="preserve"> </w:t>
      </w:r>
      <w:r>
        <w:t xml:space="preserve"> </w:t>
      </w:r>
    </w:p>
    <w:p w14:paraId="73FBDC5C" w14:textId="77777777" w:rsidR="003F6BDB" w:rsidRDefault="003F6BDB" w:rsidP="00F12DDA">
      <w:pPr>
        <w:spacing w:after="0" w:line="240" w:lineRule="auto"/>
      </w:pPr>
    </w:p>
    <w:p w14:paraId="0E30EF8E" w14:textId="77777777" w:rsidR="003F6BDB" w:rsidRPr="00F12DDA" w:rsidRDefault="003F6BDB" w:rsidP="00F12DDA">
      <w:pPr>
        <w:spacing w:after="0" w:line="240" w:lineRule="auto"/>
        <w:rPr>
          <w:b/>
        </w:rPr>
      </w:pPr>
      <w:r w:rsidRPr="00F12DDA">
        <w:rPr>
          <w:b/>
        </w:rPr>
        <w:lastRenderedPageBreak/>
        <w:t>Distribution of Buy-out Monies/Replacement Teaching</w:t>
      </w:r>
    </w:p>
    <w:p w14:paraId="0662D39C" w14:textId="77777777" w:rsidR="003F6BDB" w:rsidRDefault="003F6BDB" w:rsidP="00F12DDA">
      <w:pPr>
        <w:spacing w:after="0" w:line="240" w:lineRule="auto"/>
      </w:pPr>
      <w:r>
        <w:t xml:space="preserve">Funds from an external instructional buy-out, at the rate of 1/10th (or 1/12th) per course or its equivalent, are distributed as follows:  80% to the department and 20% to the college. Replacement teaching cost must be covered by the department’s 80%. Any remaining department funds are at the discretion of the head of the unit. </w:t>
      </w:r>
    </w:p>
    <w:p w14:paraId="185CC3EB" w14:textId="1B484A47" w:rsidR="003F6BDB" w:rsidRDefault="003F6BDB" w:rsidP="00F12DDA">
      <w:pPr>
        <w:spacing w:after="0" w:line="240" w:lineRule="auto"/>
      </w:pPr>
    </w:p>
    <w:p w14:paraId="3F56524C" w14:textId="2D09E5C0" w:rsidR="00DB77CA" w:rsidRDefault="00DB77CA" w:rsidP="00F12DDA">
      <w:pPr>
        <w:spacing w:after="0" w:line="240" w:lineRule="auto"/>
      </w:pPr>
    </w:p>
    <w:p w14:paraId="6FBFB024" w14:textId="47747E17" w:rsidR="00DB77CA" w:rsidRDefault="00DB77CA" w:rsidP="00F12DDA">
      <w:pPr>
        <w:spacing w:after="0" w:line="240" w:lineRule="auto"/>
      </w:pPr>
    </w:p>
    <w:p w14:paraId="5B161A83" w14:textId="5A7A87E8" w:rsidR="00DB77CA" w:rsidRDefault="00DB77CA" w:rsidP="00F12DDA">
      <w:pPr>
        <w:spacing w:after="0" w:line="240" w:lineRule="auto"/>
      </w:pPr>
    </w:p>
    <w:p w14:paraId="3E0491D1" w14:textId="15FFD1DA" w:rsidR="00DB77CA" w:rsidRDefault="00DB77CA" w:rsidP="006E0C2E">
      <w:pPr>
        <w:spacing w:after="0" w:line="240" w:lineRule="auto"/>
      </w:pPr>
    </w:p>
    <w:p w14:paraId="49F554F5" w14:textId="77777777" w:rsidR="00DB77CA" w:rsidRDefault="00DB77CA" w:rsidP="00F12DDA">
      <w:pPr>
        <w:spacing w:after="0" w:line="240" w:lineRule="auto"/>
      </w:pPr>
    </w:p>
    <w:p w14:paraId="604FC4C6" w14:textId="77777777" w:rsidR="00DB77CA" w:rsidRDefault="00DB77CA" w:rsidP="00F12DDA">
      <w:pPr>
        <w:spacing w:after="0" w:line="240" w:lineRule="auto"/>
      </w:pPr>
    </w:p>
    <w:sectPr w:rsidR="00DB77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DD123" w14:textId="77777777" w:rsidR="00E40A98" w:rsidRDefault="00E40A98" w:rsidP="00AD155D">
      <w:pPr>
        <w:spacing w:after="0" w:line="240" w:lineRule="auto"/>
      </w:pPr>
      <w:r>
        <w:separator/>
      </w:r>
    </w:p>
  </w:endnote>
  <w:endnote w:type="continuationSeparator" w:id="0">
    <w:p w14:paraId="39AB4BAE" w14:textId="77777777" w:rsidR="00E40A98" w:rsidRDefault="00E40A98" w:rsidP="00AD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7233A" w14:textId="77777777" w:rsidR="00AD155D" w:rsidRDefault="00AD15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EA72" w14:textId="77777777" w:rsidR="00AD155D" w:rsidRDefault="00AD15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123F4" w14:textId="77777777" w:rsidR="00AD155D" w:rsidRDefault="00AD1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F8808" w14:textId="77777777" w:rsidR="00E40A98" w:rsidRDefault="00E40A98" w:rsidP="00AD155D">
      <w:pPr>
        <w:spacing w:after="0" w:line="240" w:lineRule="auto"/>
      </w:pPr>
      <w:r>
        <w:separator/>
      </w:r>
    </w:p>
  </w:footnote>
  <w:footnote w:type="continuationSeparator" w:id="0">
    <w:p w14:paraId="1A2C9A2D" w14:textId="77777777" w:rsidR="00E40A98" w:rsidRDefault="00E40A98" w:rsidP="00AD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657A" w14:textId="1C4B5A76" w:rsidR="00AD155D" w:rsidRDefault="00AD15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3B3E" w14:textId="11DA33AB" w:rsidR="00AD155D" w:rsidRDefault="00AD15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A9478" w14:textId="4E0E792C" w:rsidR="00AD155D" w:rsidRDefault="00AD1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2A3"/>
    <w:multiLevelType w:val="hybridMultilevel"/>
    <w:tmpl w:val="C6FAE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B2180"/>
    <w:multiLevelType w:val="hybridMultilevel"/>
    <w:tmpl w:val="E7960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DB"/>
    <w:rsid w:val="000459C1"/>
    <w:rsid w:val="00060A95"/>
    <w:rsid w:val="00095CE3"/>
    <w:rsid w:val="001570B4"/>
    <w:rsid w:val="00161619"/>
    <w:rsid w:val="001B1088"/>
    <w:rsid w:val="001B538D"/>
    <w:rsid w:val="002568AD"/>
    <w:rsid w:val="00274EF3"/>
    <w:rsid w:val="00284E61"/>
    <w:rsid w:val="003241B5"/>
    <w:rsid w:val="00333235"/>
    <w:rsid w:val="003513B3"/>
    <w:rsid w:val="003676E2"/>
    <w:rsid w:val="003D1E48"/>
    <w:rsid w:val="003F6BDB"/>
    <w:rsid w:val="00465564"/>
    <w:rsid w:val="004B11E4"/>
    <w:rsid w:val="00563A9C"/>
    <w:rsid w:val="005E0C62"/>
    <w:rsid w:val="006E0C2E"/>
    <w:rsid w:val="006E74CF"/>
    <w:rsid w:val="00783794"/>
    <w:rsid w:val="007D24CC"/>
    <w:rsid w:val="00971AC9"/>
    <w:rsid w:val="00AA67A2"/>
    <w:rsid w:val="00AD155D"/>
    <w:rsid w:val="00B46FFA"/>
    <w:rsid w:val="00B64C80"/>
    <w:rsid w:val="00C4314A"/>
    <w:rsid w:val="00C76368"/>
    <w:rsid w:val="00CF40E7"/>
    <w:rsid w:val="00DA0511"/>
    <w:rsid w:val="00DA57B3"/>
    <w:rsid w:val="00DB77CA"/>
    <w:rsid w:val="00E40A98"/>
    <w:rsid w:val="00E54EA5"/>
    <w:rsid w:val="00EA6B59"/>
    <w:rsid w:val="00F12DDA"/>
    <w:rsid w:val="00F13B88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8DC9"/>
  <w15:chartTrackingRefBased/>
  <w15:docId w15:val="{FF02F732-E3D1-4C66-9405-56ED60A2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6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2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2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23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05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55D"/>
  </w:style>
  <w:style w:type="paragraph" w:styleId="Footer">
    <w:name w:val="footer"/>
    <w:basedOn w:val="Normal"/>
    <w:link w:val="FooterChar"/>
    <w:uiPriority w:val="99"/>
    <w:unhideWhenUsed/>
    <w:rsid w:val="00AD1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00FCB0648A448AC73A5997C0ABE76" ma:contentTypeVersion="15" ma:contentTypeDescription="Create a new document." ma:contentTypeScope="" ma:versionID="64668e353a3ea428e60be328a0195973">
  <xsd:schema xmlns:xsd="http://www.w3.org/2001/XMLSchema" xmlns:xs="http://www.w3.org/2001/XMLSchema" xmlns:p="http://schemas.microsoft.com/office/2006/metadata/properties" xmlns:ns1="http://schemas.microsoft.com/sharepoint/v3" xmlns:ns3="403916c1-29f1-410f-a3f1-3fb7a0345bc9" xmlns:ns4="d0a892b9-6818-40c9-b64b-dfc82727c023" targetNamespace="http://schemas.microsoft.com/office/2006/metadata/properties" ma:root="true" ma:fieldsID="e26afe38bb83a64002774ea3a51dfdfb" ns1:_="" ns3:_="" ns4:_="">
    <xsd:import namespace="http://schemas.microsoft.com/sharepoint/v3"/>
    <xsd:import namespace="403916c1-29f1-410f-a3f1-3fb7a0345bc9"/>
    <xsd:import namespace="d0a892b9-6818-40c9-b64b-dfc82727c0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916c1-29f1-410f-a3f1-3fb7a0345b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892b9-6818-40c9-b64b-dfc82727c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7C6978-D2AC-41B4-82B9-0DC646238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3916c1-29f1-410f-a3f1-3fb7a0345bc9"/>
    <ds:schemaRef ds:uri="d0a892b9-6818-40c9-b64b-dfc82727c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49A522-D866-430F-8E33-67529F7F54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5A1DFC-2F4F-4AF7-98FD-7ECDEFB982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Worthy</dc:creator>
  <cp:keywords/>
  <dc:description/>
  <cp:lastModifiedBy>Lynn Parham</cp:lastModifiedBy>
  <cp:revision>2</cp:revision>
  <cp:lastPrinted>2021-11-16T20:58:00Z</cp:lastPrinted>
  <dcterms:created xsi:type="dcterms:W3CDTF">2021-11-17T16:30:00Z</dcterms:created>
  <dcterms:modified xsi:type="dcterms:W3CDTF">2021-11-17T16:30:00Z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0x010100E6900FCB0648A448AC73A5997C0ABE76</vt:lpwstr>
  </property>
</Properties>
</file>