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41F5" w14:textId="77777777" w:rsidR="00CF4658" w:rsidRDefault="00CF4658">
      <w:pPr>
        <w:rPr>
          <w:b/>
          <w:bCs/>
          <w:color w:val="C00000"/>
          <w:sz w:val="36"/>
          <w:szCs w:val="36"/>
        </w:rPr>
      </w:pPr>
      <w:r>
        <w:rPr>
          <w:b/>
          <w:bCs/>
          <w:noProof/>
          <w:color w:val="C00000"/>
          <w:sz w:val="36"/>
          <w:szCs w:val="36"/>
        </w:rPr>
        <w:drawing>
          <wp:inline distT="0" distB="0" distL="0" distR="0" wp14:anchorId="0B959981" wp14:editId="22150EDA">
            <wp:extent cx="2731215" cy="1135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4666" cy="1140972"/>
                    </a:xfrm>
                    <a:prstGeom prst="rect">
                      <a:avLst/>
                    </a:prstGeom>
                  </pic:spPr>
                </pic:pic>
              </a:graphicData>
            </a:graphic>
          </wp:inline>
        </w:drawing>
      </w:r>
    </w:p>
    <w:p w14:paraId="69E51EEF" w14:textId="28CC46B9" w:rsidR="00A81CA0" w:rsidRPr="00CF4658" w:rsidRDefault="009F070E" w:rsidP="00CF4658">
      <w:pPr>
        <w:jc w:val="center"/>
        <w:rPr>
          <w:b/>
          <w:bCs/>
          <w:color w:val="C00000"/>
          <w:sz w:val="36"/>
          <w:szCs w:val="36"/>
        </w:rPr>
      </w:pPr>
      <w:r w:rsidRPr="00CF4658">
        <w:rPr>
          <w:b/>
          <w:bCs/>
          <w:color w:val="C00000"/>
          <w:sz w:val="36"/>
          <w:szCs w:val="36"/>
        </w:rPr>
        <w:t>FACS Template for Startup</w:t>
      </w:r>
    </w:p>
    <w:p w14:paraId="3F033FA9" w14:textId="7AAE12ED" w:rsidR="009F070E" w:rsidRDefault="009F070E">
      <w:pPr>
        <w:rPr>
          <w:b/>
          <w:bCs/>
        </w:rPr>
      </w:pPr>
    </w:p>
    <w:p w14:paraId="0A8E5E9B" w14:textId="407D2879" w:rsidR="009F070E" w:rsidRPr="00C864AE" w:rsidRDefault="009F070E" w:rsidP="009F070E">
      <w:pPr>
        <w:pStyle w:val="BodyText"/>
        <w:ind w:left="101" w:right="115"/>
        <w:rPr>
          <w:rFonts w:eastAsia="Times New Roman"/>
          <w:spacing w:val="-3"/>
          <w:sz w:val="22"/>
          <w:szCs w:val="22"/>
        </w:rPr>
      </w:pPr>
      <w:r w:rsidRPr="00CF4658">
        <w:rPr>
          <w:rFonts w:eastAsia="Times New Roman"/>
          <w:b/>
          <w:bCs/>
          <w:spacing w:val="-3"/>
          <w:sz w:val="22"/>
          <w:szCs w:val="22"/>
        </w:rPr>
        <w:t>START-UP FUNDING</w:t>
      </w:r>
      <w:r w:rsidRPr="00C864AE">
        <w:rPr>
          <w:rFonts w:eastAsia="Times New Roman"/>
          <w:spacing w:val="-3"/>
          <w:sz w:val="22"/>
          <w:szCs w:val="22"/>
        </w:rPr>
        <w:t>: As a new faculty member, you will be provided with a total of $</w:t>
      </w:r>
      <w:proofErr w:type="spellStart"/>
      <w:proofErr w:type="gramStart"/>
      <w:r w:rsidRPr="00C864AE">
        <w:rPr>
          <w:rFonts w:eastAsia="Times New Roman"/>
          <w:spacing w:val="-3"/>
          <w:sz w:val="22"/>
          <w:szCs w:val="22"/>
        </w:rPr>
        <w:t>xxx,xxx</w:t>
      </w:r>
      <w:proofErr w:type="spellEnd"/>
      <w:proofErr w:type="gramEnd"/>
      <w:r w:rsidRPr="00C864AE">
        <w:rPr>
          <w:rFonts w:eastAsia="Times New Roman"/>
          <w:spacing w:val="-3"/>
          <w:sz w:val="22"/>
          <w:szCs w:val="22"/>
        </w:rPr>
        <w:t xml:space="preserve"> from the College of Family and Consumer Sciences as start-up funds. Funds will be allocated to your unique financial department id each fiscal year in the amounts indicated in the table below. These funds are to be spent no later than June 30, 20xx (2 to 3 years max). Startup funds from Year 1 may be carried into Year 2. In subsequent fiscal years, funding may be carried forward by written approval from the </w:t>
      </w:r>
      <w:r w:rsidR="00C864AE">
        <w:rPr>
          <w:rFonts w:eastAsia="Times New Roman"/>
          <w:spacing w:val="-3"/>
          <w:sz w:val="22"/>
          <w:szCs w:val="22"/>
        </w:rPr>
        <w:t xml:space="preserve">Department Head and </w:t>
      </w:r>
      <w:r w:rsidRPr="00C864AE">
        <w:rPr>
          <w:rFonts w:eastAsia="Times New Roman"/>
          <w:spacing w:val="-3"/>
          <w:sz w:val="22"/>
          <w:szCs w:val="22"/>
        </w:rPr>
        <w:t xml:space="preserve">Dean. </w:t>
      </w:r>
      <w:bookmarkStart w:id="0" w:name="_Hlk128729505"/>
      <w:r w:rsidRPr="00C864AE">
        <w:rPr>
          <w:rFonts w:eastAsia="Times New Roman"/>
          <w:spacing w:val="-3"/>
          <w:sz w:val="22"/>
          <w:szCs w:val="22"/>
        </w:rPr>
        <w:t xml:space="preserve">These funds may be used for research (may add public service or extension as applicable) program expenses, office furniture, computer equipment, salary to support graduate assistants or student workers and any other allowable expenses to support your programs. Should you choose to use a portion of your start-up for hiring, you will also be responsible for paying the salary and benefit costs from these funds. </w:t>
      </w:r>
      <w:bookmarkEnd w:id="0"/>
      <w:r w:rsidRPr="00C864AE">
        <w:rPr>
          <w:rFonts w:eastAsia="Times New Roman"/>
          <w:spacing w:val="-3"/>
          <w:sz w:val="22"/>
          <w:szCs w:val="22"/>
        </w:rPr>
        <w:t xml:space="preserve">Your start-up funding is the University’s investment in your research program, and you may wish to consult with your Department Head on developing a strategy to ensure that you can leverage this investment to raise external support for your research program. </w:t>
      </w:r>
    </w:p>
    <w:p w14:paraId="12D0136A" w14:textId="77777777" w:rsidR="009F070E" w:rsidRPr="00C864AE" w:rsidRDefault="009F070E" w:rsidP="009F070E">
      <w:pPr>
        <w:pStyle w:val="BodyText"/>
        <w:ind w:left="101" w:right="115"/>
        <w:rPr>
          <w:rFonts w:eastAsia="Times New Roman"/>
          <w:spacing w:val="-3"/>
          <w:sz w:val="22"/>
          <w:szCs w:val="22"/>
        </w:rPr>
      </w:pPr>
    </w:p>
    <w:p w14:paraId="53857856" w14:textId="1C736FAB" w:rsidR="009F070E" w:rsidRPr="00C864AE" w:rsidRDefault="009F070E" w:rsidP="009F070E">
      <w:pPr>
        <w:pStyle w:val="BodyText"/>
        <w:ind w:left="101" w:right="115"/>
        <w:rPr>
          <w:rFonts w:eastAsia="Times New Roman"/>
          <w:spacing w:val="-3"/>
          <w:sz w:val="22"/>
          <w:szCs w:val="22"/>
        </w:rPr>
      </w:pPr>
      <w:r w:rsidRPr="00C864AE">
        <w:rPr>
          <w:rFonts w:eastAsia="Times New Roman"/>
          <w:spacing w:val="-3"/>
          <w:sz w:val="22"/>
          <w:szCs w:val="22"/>
        </w:rPr>
        <w:t xml:space="preserve">In addition, the Department of XXXXXX will provide x (max 3 years best to start second year of employment) years of assistantship funding for a PhD xx% graduate student. </w:t>
      </w:r>
      <w:r w:rsidR="00006975" w:rsidRPr="00C864AE">
        <w:rPr>
          <w:rFonts w:eastAsia="Times New Roman"/>
          <w:spacing w:val="-3"/>
          <w:sz w:val="22"/>
          <w:szCs w:val="22"/>
        </w:rPr>
        <w:t>If lab space is needed, please address the space needs here.</w:t>
      </w:r>
    </w:p>
    <w:p w14:paraId="7BA78AD5" w14:textId="658617C5" w:rsidR="009F070E" w:rsidRPr="00C864AE" w:rsidRDefault="009F070E" w:rsidP="009F070E">
      <w:pPr>
        <w:pStyle w:val="BodyText"/>
        <w:ind w:left="101" w:right="115"/>
        <w:rPr>
          <w:rFonts w:eastAsia="Times New Roman"/>
          <w:spacing w:val="-3"/>
          <w:sz w:val="22"/>
          <w:szCs w:val="22"/>
        </w:rPr>
      </w:pPr>
    </w:p>
    <w:tbl>
      <w:tblPr>
        <w:tblStyle w:val="TableGrid"/>
        <w:tblW w:w="9891" w:type="dxa"/>
        <w:tblInd w:w="101" w:type="dxa"/>
        <w:tblLook w:val="04A0" w:firstRow="1" w:lastRow="0" w:firstColumn="1" w:lastColumn="0" w:noHBand="0" w:noVBand="1"/>
      </w:tblPr>
      <w:tblGrid>
        <w:gridCol w:w="1601"/>
        <w:gridCol w:w="1815"/>
        <w:gridCol w:w="1636"/>
        <w:gridCol w:w="1646"/>
        <w:gridCol w:w="1848"/>
        <w:gridCol w:w="1345"/>
      </w:tblGrid>
      <w:tr w:rsidR="009F070E" w:rsidRPr="00C864AE" w14:paraId="6F263433" w14:textId="1173A4DD" w:rsidTr="00006975">
        <w:trPr>
          <w:trHeight w:val="563"/>
        </w:trPr>
        <w:tc>
          <w:tcPr>
            <w:tcW w:w="1601" w:type="dxa"/>
          </w:tcPr>
          <w:p w14:paraId="567B456D" w14:textId="1CC5BBDD" w:rsidR="009F070E" w:rsidRPr="00C864AE" w:rsidRDefault="009F070E" w:rsidP="009F070E">
            <w:pPr>
              <w:pStyle w:val="BodyText"/>
              <w:ind w:right="115"/>
              <w:rPr>
                <w:rFonts w:eastAsia="Times New Roman"/>
                <w:spacing w:val="-3"/>
                <w:sz w:val="22"/>
                <w:szCs w:val="22"/>
              </w:rPr>
            </w:pPr>
            <w:r w:rsidRPr="00C864AE">
              <w:rPr>
                <w:rFonts w:eastAsia="Times New Roman"/>
                <w:spacing w:val="-3"/>
                <w:sz w:val="22"/>
                <w:szCs w:val="22"/>
              </w:rPr>
              <w:t>Time Frame</w:t>
            </w:r>
          </w:p>
        </w:tc>
        <w:tc>
          <w:tcPr>
            <w:tcW w:w="1815" w:type="dxa"/>
          </w:tcPr>
          <w:p w14:paraId="522356FD" w14:textId="179848CC" w:rsidR="009F070E" w:rsidRPr="00C864AE" w:rsidRDefault="009F070E" w:rsidP="00006975">
            <w:pPr>
              <w:pStyle w:val="BodyText"/>
              <w:ind w:right="115"/>
              <w:jc w:val="center"/>
              <w:rPr>
                <w:rFonts w:eastAsia="Times New Roman"/>
                <w:spacing w:val="-3"/>
                <w:sz w:val="22"/>
                <w:szCs w:val="22"/>
              </w:rPr>
            </w:pPr>
            <w:r w:rsidRPr="00C864AE">
              <w:rPr>
                <w:rFonts w:eastAsia="Times New Roman"/>
                <w:spacing w:val="-3"/>
                <w:sz w:val="22"/>
                <w:szCs w:val="22"/>
              </w:rPr>
              <w:t>Department</w:t>
            </w:r>
          </w:p>
        </w:tc>
        <w:tc>
          <w:tcPr>
            <w:tcW w:w="1636" w:type="dxa"/>
          </w:tcPr>
          <w:p w14:paraId="30CD136F" w14:textId="36633310" w:rsidR="009F070E" w:rsidRPr="00C864AE" w:rsidRDefault="009F070E" w:rsidP="00006975">
            <w:pPr>
              <w:pStyle w:val="BodyText"/>
              <w:ind w:right="115"/>
              <w:jc w:val="center"/>
              <w:rPr>
                <w:rFonts w:eastAsia="Times New Roman"/>
                <w:spacing w:val="-3"/>
                <w:sz w:val="22"/>
                <w:szCs w:val="22"/>
              </w:rPr>
            </w:pPr>
            <w:r w:rsidRPr="00C864AE">
              <w:rPr>
                <w:rFonts w:eastAsia="Times New Roman"/>
                <w:spacing w:val="-3"/>
                <w:sz w:val="22"/>
                <w:szCs w:val="22"/>
              </w:rPr>
              <w:t>College</w:t>
            </w:r>
          </w:p>
        </w:tc>
        <w:tc>
          <w:tcPr>
            <w:tcW w:w="1646" w:type="dxa"/>
          </w:tcPr>
          <w:p w14:paraId="466F55E7" w14:textId="42B5E305" w:rsidR="009F070E" w:rsidRPr="00C864AE" w:rsidRDefault="009F070E" w:rsidP="00006975">
            <w:pPr>
              <w:pStyle w:val="BodyText"/>
              <w:ind w:right="115"/>
              <w:jc w:val="center"/>
              <w:rPr>
                <w:rFonts w:eastAsia="Times New Roman"/>
                <w:spacing w:val="-3"/>
                <w:sz w:val="22"/>
                <w:szCs w:val="22"/>
              </w:rPr>
            </w:pPr>
            <w:r w:rsidRPr="00C864AE">
              <w:rPr>
                <w:rFonts w:eastAsia="Times New Roman"/>
                <w:spacing w:val="-3"/>
                <w:sz w:val="22"/>
                <w:szCs w:val="22"/>
              </w:rPr>
              <w:t>Provost</w:t>
            </w:r>
            <w:r w:rsidR="009C1F60" w:rsidRPr="00C864AE">
              <w:rPr>
                <w:rFonts w:eastAsia="Times New Roman"/>
                <w:spacing w:val="-3"/>
                <w:sz w:val="22"/>
                <w:szCs w:val="22"/>
              </w:rPr>
              <w:t xml:space="preserve"> (remove if not applicable)</w:t>
            </w:r>
          </w:p>
        </w:tc>
        <w:tc>
          <w:tcPr>
            <w:tcW w:w="1848" w:type="dxa"/>
          </w:tcPr>
          <w:p w14:paraId="383F4AD2" w14:textId="4E150CA7" w:rsidR="009F070E" w:rsidRPr="00C864AE" w:rsidRDefault="009F070E" w:rsidP="00006975">
            <w:pPr>
              <w:pStyle w:val="BodyText"/>
              <w:ind w:right="115"/>
              <w:jc w:val="center"/>
              <w:rPr>
                <w:rFonts w:eastAsia="Times New Roman"/>
                <w:spacing w:val="-3"/>
                <w:sz w:val="22"/>
                <w:szCs w:val="22"/>
              </w:rPr>
            </w:pPr>
            <w:r w:rsidRPr="00C864AE">
              <w:rPr>
                <w:rFonts w:eastAsia="Times New Roman"/>
                <w:spacing w:val="-3"/>
                <w:sz w:val="22"/>
                <w:szCs w:val="22"/>
              </w:rPr>
              <w:t>Department Assistantship</w:t>
            </w:r>
          </w:p>
        </w:tc>
        <w:tc>
          <w:tcPr>
            <w:tcW w:w="1345" w:type="dxa"/>
          </w:tcPr>
          <w:p w14:paraId="1C887785" w14:textId="2864B565" w:rsidR="009F070E" w:rsidRPr="00C864AE" w:rsidRDefault="009F070E" w:rsidP="00006975">
            <w:pPr>
              <w:pStyle w:val="BodyText"/>
              <w:ind w:right="115"/>
              <w:jc w:val="center"/>
              <w:rPr>
                <w:rFonts w:eastAsia="Times New Roman"/>
                <w:spacing w:val="-3"/>
                <w:sz w:val="22"/>
                <w:szCs w:val="22"/>
              </w:rPr>
            </w:pPr>
            <w:r w:rsidRPr="00C864AE">
              <w:rPr>
                <w:rFonts w:eastAsia="Times New Roman"/>
                <w:spacing w:val="-3"/>
                <w:sz w:val="22"/>
                <w:szCs w:val="22"/>
              </w:rPr>
              <w:t>TOTAL</w:t>
            </w:r>
          </w:p>
        </w:tc>
      </w:tr>
      <w:tr w:rsidR="009F070E" w:rsidRPr="00C864AE" w14:paraId="24C251F5" w14:textId="3A5DFCDD" w:rsidTr="00006975">
        <w:trPr>
          <w:trHeight w:val="820"/>
        </w:trPr>
        <w:tc>
          <w:tcPr>
            <w:tcW w:w="1601" w:type="dxa"/>
          </w:tcPr>
          <w:p w14:paraId="3A3417E8" w14:textId="1FCD5B11" w:rsidR="009F070E" w:rsidRPr="00C864AE" w:rsidRDefault="00006975" w:rsidP="009F070E">
            <w:pPr>
              <w:pStyle w:val="BodyText"/>
              <w:ind w:right="115"/>
              <w:rPr>
                <w:rFonts w:eastAsia="Times New Roman"/>
                <w:spacing w:val="-3"/>
                <w:sz w:val="22"/>
                <w:szCs w:val="22"/>
              </w:rPr>
            </w:pPr>
            <w:r w:rsidRPr="00C864AE">
              <w:rPr>
                <w:rFonts w:eastAsia="Times New Roman"/>
                <w:spacing w:val="-3"/>
                <w:sz w:val="22"/>
                <w:szCs w:val="22"/>
              </w:rPr>
              <w:t>FY24 (August 1, 2023 to June 30, 2024)</w:t>
            </w:r>
          </w:p>
        </w:tc>
        <w:tc>
          <w:tcPr>
            <w:tcW w:w="1815" w:type="dxa"/>
          </w:tcPr>
          <w:p w14:paraId="7B85DFF1" w14:textId="77777777" w:rsidR="009F070E" w:rsidRPr="00C864AE" w:rsidRDefault="009F070E" w:rsidP="009F070E">
            <w:pPr>
              <w:pStyle w:val="BodyText"/>
              <w:ind w:right="115"/>
              <w:rPr>
                <w:rFonts w:eastAsia="Times New Roman"/>
                <w:spacing w:val="-3"/>
                <w:sz w:val="22"/>
                <w:szCs w:val="22"/>
              </w:rPr>
            </w:pPr>
          </w:p>
        </w:tc>
        <w:tc>
          <w:tcPr>
            <w:tcW w:w="1636" w:type="dxa"/>
          </w:tcPr>
          <w:p w14:paraId="59ED1763" w14:textId="77777777" w:rsidR="009F070E" w:rsidRPr="00C864AE" w:rsidRDefault="009F070E" w:rsidP="009F070E">
            <w:pPr>
              <w:pStyle w:val="BodyText"/>
              <w:ind w:right="115"/>
              <w:rPr>
                <w:rFonts w:eastAsia="Times New Roman"/>
                <w:spacing w:val="-3"/>
                <w:sz w:val="22"/>
                <w:szCs w:val="22"/>
              </w:rPr>
            </w:pPr>
          </w:p>
        </w:tc>
        <w:tc>
          <w:tcPr>
            <w:tcW w:w="1646" w:type="dxa"/>
          </w:tcPr>
          <w:p w14:paraId="77A70E19" w14:textId="77777777" w:rsidR="009F070E" w:rsidRPr="00C864AE" w:rsidRDefault="009F070E" w:rsidP="009F070E">
            <w:pPr>
              <w:pStyle w:val="BodyText"/>
              <w:ind w:right="115"/>
              <w:rPr>
                <w:rFonts w:eastAsia="Times New Roman"/>
                <w:spacing w:val="-3"/>
                <w:sz w:val="22"/>
                <w:szCs w:val="22"/>
              </w:rPr>
            </w:pPr>
          </w:p>
        </w:tc>
        <w:tc>
          <w:tcPr>
            <w:tcW w:w="1848" w:type="dxa"/>
          </w:tcPr>
          <w:p w14:paraId="5ED4CCD1" w14:textId="77777777" w:rsidR="009F070E" w:rsidRPr="00C864AE" w:rsidRDefault="009F070E" w:rsidP="009F070E">
            <w:pPr>
              <w:pStyle w:val="BodyText"/>
              <w:ind w:right="115"/>
              <w:rPr>
                <w:rFonts w:eastAsia="Times New Roman"/>
                <w:spacing w:val="-3"/>
                <w:sz w:val="22"/>
                <w:szCs w:val="22"/>
              </w:rPr>
            </w:pPr>
          </w:p>
        </w:tc>
        <w:tc>
          <w:tcPr>
            <w:tcW w:w="1345" w:type="dxa"/>
          </w:tcPr>
          <w:p w14:paraId="42BA7211" w14:textId="77777777" w:rsidR="009F070E" w:rsidRPr="00C864AE" w:rsidRDefault="009F070E" w:rsidP="009F070E">
            <w:pPr>
              <w:pStyle w:val="BodyText"/>
              <w:ind w:right="115"/>
              <w:rPr>
                <w:rFonts w:eastAsia="Times New Roman"/>
                <w:spacing w:val="-3"/>
                <w:sz w:val="22"/>
                <w:szCs w:val="22"/>
              </w:rPr>
            </w:pPr>
          </w:p>
        </w:tc>
      </w:tr>
      <w:tr w:rsidR="009F070E" w:rsidRPr="00C864AE" w14:paraId="73C386FD" w14:textId="05B6D078" w:rsidTr="00006975">
        <w:trPr>
          <w:trHeight w:val="804"/>
        </w:trPr>
        <w:tc>
          <w:tcPr>
            <w:tcW w:w="1601" w:type="dxa"/>
          </w:tcPr>
          <w:p w14:paraId="27AD8788" w14:textId="4D4A0DDF" w:rsidR="009F070E" w:rsidRPr="00C864AE" w:rsidRDefault="00006975" w:rsidP="009F070E">
            <w:pPr>
              <w:pStyle w:val="BodyText"/>
              <w:ind w:right="115"/>
              <w:rPr>
                <w:rFonts w:eastAsia="Times New Roman"/>
                <w:spacing w:val="-3"/>
                <w:sz w:val="22"/>
                <w:szCs w:val="22"/>
              </w:rPr>
            </w:pPr>
            <w:r w:rsidRPr="00C864AE">
              <w:rPr>
                <w:rFonts w:eastAsia="Times New Roman"/>
                <w:spacing w:val="-3"/>
                <w:sz w:val="22"/>
                <w:szCs w:val="22"/>
              </w:rPr>
              <w:t>FY25 (July 1, 2024 to June 30, 2025)</w:t>
            </w:r>
          </w:p>
        </w:tc>
        <w:tc>
          <w:tcPr>
            <w:tcW w:w="1815" w:type="dxa"/>
          </w:tcPr>
          <w:p w14:paraId="473541C0" w14:textId="77777777" w:rsidR="009F070E" w:rsidRPr="00C864AE" w:rsidRDefault="009F070E" w:rsidP="009F070E">
            <w:pPr>
              <w:pStyle w:val="BodyText"/>
              <w:ind w:right="115"/>
              <w:rPr>
                <w:rFonts w:eastAsia="Times New Roman"/>
                <w:spacing w:val="-3"/>
                <w:sz w:val="22"/>
                <w:szCs w:val="22"/>
              </w:rPr>
            </w:pPr>
          </w:p>
        </w:tc>
        <w:tc>
          <w:tcPr>
            <w:tcW w:w="1636" w:type="dxa"/>
          </w:tcPr>
          <w:p w14:paraId="61283851" w14:textId="77777777" w:rsidR="009F070E" w:rsidRPr="00C864AE" w:rsidRDefault="009F070E" w:rsidP="009F070E">
            <w:pPr>
              <w:pStyle w:val="BodyText"/>
              <w:ind w:right="115"/>
              <w:rPr>
                <w:rFonts w:eastAsia="Times New Roman"/>
                <w:spacing w:val="-3"/>
                <w:sz w:val="22"/>
                <w:szCs w:val="22"/>
              </w:rPr>
            </w:pPr>
          </w:p>
        </w:tc>
        <w:tc>
          <w:tcPr>
            <w:tcW w:w="1646" w:type="dxa"/>
          </w:tcPr>
          <w:p w14:paraId="5F0565E6" w14:textId="77777777" w:rsidR="009F070E" w:rsidRPr="00C864AE" w:rsidRDefault="009F070E" w:rsidP="009F070E">
            <w:pPr>
              <w:pStyle w:val="BodyText"/>
              <w:ind w:right="115"/>
              <w:rPr>
                <w:rFonts w:eastAsia="Times New Roman"/>
                <w:spacing w:val="-3"/>
                <w:sz w:val="22"/>
                <w:szCs w:val="22"/>
              </w:rPr>
            </w:pPr>
          </w:p>
        </w:tc>
        <w:tc>
          <w:tcPr>
            <w:tcW w:w="1848" w:type="dxa"/>
          </w:tcPr>
          <w:p w14:paraId="6D2306AA" w14:textId="77777777" w:rsidR="009F070E" w:rsidRPr="00C864AE" w:rsidRDefault="009F070E" w:rsidP="009F070E">
            <w:pPr>
              <w:pStyle w:val="BodyText"/>
              <w:ind w:right="115"/>
              <w:rPr>
                <w:rFonts w:eastAsia="Times New Roman"/>
                <w:spacing w:val="-3"/>
                <w:sz w:val="22"/>
                <w:szCs w:val="22"/>
              </w:rPr>
            </w:pPr>
          </w:p>
        </w:tc>
        <w:tc>
          <w:tcPr>
            <w:tcW w:w="1345" w:type="dxa"/>
          </w:tcPr>
          <w:p w14:paraId="51683A59" w14:textId="77777777" w:rsidR="009F070E" w:rsidRPr="00C864AE" w:rsidRDefault="009F070E" w:rsidP="009F070E">
            <w:pPr>
              <w:pStyle w:val="BodyText"/>
              <w:ind w:right="115"/>
              <w:rPr>
                <w:rFonts w:eastAsia="Times New Roman"/>
                <w:spacing w:val="-3"/>
                <w:sz w:val="22"/>
                <w:szCs w:val="22"/>
              </w:rPr>
            </w:pPr>
          </w:p>
        </w:tc>
      </w:tr>
      <w:tr w:rsidR="009F070E" w:rsidRPr="00C864AE" w14:paraId="00912596" w14:textId="26934F5C" w:rsidTr="00006975">
        <w:trPr>
          <w:trHeight w:val="852"/>
        </w:trPr>
        <w:tc>
          <w:tcPr>
            <w:tcW w:w="1601" w:type="dxa"/>
          </w:tcPr>
          <w:p w14:paraId="2F1E9305" w14:textId="57FAA2B6" w:rsidR="009F070E" w:rsidRPr="00C864AE" w:rsidRDefault="00006975" w:rsidP="009F070E">
            <w:pPr>
              <w:pStyle w:val="BodyText"/>
              <w:ind w:right="115"/>
              <w:rPr>
                <w:rFonts w:eastAsia="Times New Roman"/>
                <w:spacing w:val="-3"/>
                <w:sz w:val="22"/>
                <w:szCs w:val="22"/>
              </w:rPr>
            </w:pPr>
            <w:r w:rsidRPr="00C864AE">
              <w:rPr>
                <w:rFonts w:eastAsia="Times New Roman"/>
                <w:spacing w:val="-3"/>
                <w:sz w:val="22"/>
                <w:szCs w:val="22"/>
              </w:rPr>
              <w:t>FY26 (July 1, 2025 to June 30, 2025)</w:t>
            </w:r>
          </w:p>
        </w:tc>
        <w:tc>
          <w:tcPr>
            <w:tcW w:w="1815" w:type="dxa"/>
          </w:tcPr>
          <w:p w14:paraId="42FAEB14" w14:textId="77777777" w:rsidR="009F070E" w:rsidRPr="00C864AE" w:rsidRDefault="009F070E" w:rsidP="009F070E">
            <w:pPr>
              <w:pStyle w:val="BodyText"/>
              <w:ind w:right="115"/>
              <w:rPr>
                <w:rFonts w:eastAsia="Times New Roman"/>
                <w:spacing w:val="-3"/>
                <w:sz w:val="22"/>
                <w:szCs w:val="22"/>
              </w:rPr>
            </w:pPr>
          </w:p>
        </w:tc>
        <w:tc>
          <w:tcPr>
            <w:tcW w:w="1636" w:type="dxa"/>
          </w:tcPr>
          <w:p w14:paraId="2F1923F3" w14:textId="77777777" w:rsidR="009F070E" w:rsidRPr="00C864AE" w:rsidRDefault="009F070E" w:rsidP="009F070E">
            <w:pPr>
              <w:pStyle w:val="BodyText"/>
              <w:ind w:right="115"/>
              <w:rPr>
                <w:rFonts w:eastAsia="Times New Roman"/>
                <w:spacing w:val="-3"/>
                <w:sz w:val="22"/>
                <w:szCs w:val="22"/>
              </w:rPr>
            </w:pPr>
          </w:p>
        </w:tc>
        <w:tc>
          <w:tcPr>
            <w:tcW w:w="1646" w:type="dxa"/>
          </w:tcPr>
          <w:p w14:paraId="7284F844" w14:textId="77777777" w:rsidR="009F070E" w:rsidRPr="00C864AE" w:rsidRDefault="009F070E" w:rsidP="009F070E">
            <w:pPr>
              <w:pStyle w:val="BodyText"/>
              <w:ind w:right="115"/>
              <w:rPr>
                <w:rFonts w:eastAsia="Times New Roman"/>
                <w:spacing w:val="-3"/>
                <w:sz w:val="22"/>
                <w:szCs w:val="22"/>
              </w:rPr>
            </w:pPr>
          </w:p>
        </w:tc>
        <w:tc>
          <w:tcPr>
            <w:tcW w:w="1848" w:type="dxa"/>
          </w:tcPr>
          <w:p w14:paraId="7235447B" w14:textId="77777777" w:rsidR="009F070E" w:rsidRPr="00C864AE" w:rsidRDefault="009F070E" w:rsidP="009F070E">
            <w:pPr>
              <w:pStyle w:val="BodyText"/>
              <w:ind w:right="115"/>
              <w:rPr>
                <w:rFonts w:eastAsia="Times New Roman"/>
                <w:spacing w:val="-3"/>
                <w:sz w:val="22"/>
                <w:szCs w:val="22"/>
              </w:rPr>
            </w:pPr>
          </w:p>
        </w:tc>
        <w:tc>
          <w:tcPr>
            <w:tcW w:w="1345" w:type="dxa"/>
          </w:tcPr>
          <w:p w14:paraId="7C584CE4" w14:textId="77777777" w:rsidR="009F070E" w:rsidRPr="00C864AE" w:rsidRDefault="009F070E" w:rsidP="009F070E">
            <w:pPr>
              <w:pStyle w:val="BodyText"/>
              <w:ind w:right="115"/>
              <w:rPr>
                <w:rFonts w:eastAsia="Times New Roman"/>
                <w:spacing w:val="-3"/>
                <w:sz w:val="22"/>
                <w:szCs w:val="22"/>
              </w:rPr>
            </w:pPr>
          </w:p>
        </w:tc>
      </w:tr>
      <w:tr w:rsidR="00006975" w:rsidRPr="00C864AE" w14:paraId="7B227FFE" w14:textId="77777777" w:rsidTr="00006975">
        <w:trPr>
          <w:trHeight w:val="852"/>
        </w:trPr>
        <w:tc>
          <w:tcPr>
            <w:tcW w:w="1601" w:type="dxa"/>
          </w:tcPr>
          <w:p w14:paraId="7E607C4F" w14:textId="294D7360" w:rsidR="00006975" w:rsidRPr="00C864AE" w:rsidRDefault="00006975" w:rsidP="009F070E">
            <w:pPr>
              <w:pStyle w:val="BodyText"/>
              <w:ind w:right="115"/>
              <w:rPr>
                <w:rFonts w:eastAsia="Times New Roman"/>
                <w:spacing w:val="-3"/>
                <w:sz w:val="22"/>
                <w:szCs w:val="22"/>
              </w:rPr>
            </w:pPr>
            <w:r w:rsidRPr="00C864AE">
              <w:rPr>
                <w:rFonts w:eastAsia="Times New Roman"/>
                <w:spacing w:val="-3"/>
                <w:sz w:val="22"/>
                <w:szCs w:val="22"/>
              </w:rPr>
              <w:t>TOTAL Startup Support</w:t>
            </w:r>
          </w:p>
        </w:tc>
        <w:tc>
          <w:tcPr>
            <w:tcW w:w="1815" w:type="dxa"/>
          </w:tcPr>
          <w:p w14:paraId="568DE97F" w14:textId="77777777" w:rsidR="00006975" w:rsidRPr="00C864AE" w:rsidRDefault="00006975" w:rsidP="009F070E">
            <w:pPr>
              <w:pStyle w:val="BodyText"/>
              <w:ind w:right="115"/>
              <w:rPr>
                <w:rFonts w:eastAsia="Times New Roman"/>
                <w:spacing w:val="-3"/>
                <w:sz w:val="22"/>
                <w:szCs w:val="22"/>
              </w:rPr>
            </w:pPr>
          </w:p>
        </w:tc>
        <w:tc>
          <w:tcPr>
            <w:tcW w:w="1636" w:type="dxa"/>
          </w:tcPr>
          <w:p w14:paraId="1D437E49" w14:textId="77777777" w:rsidR="00006975" w:rsidRPr="00C864AE" w:rsidRDefault="00006975" w:rsidP="009F070E">
            <w:pPr>
              <w:pStyle w:val="BodyText"/>
              <w:ind w:right="115"/>
              <w:rPr>
                <w:rFonts w:eastAsia="Times New Roman"/>
                <w:spacing w:val="-3"/>
                <w:sz w:val="22"/>
                <w:szCs w:val="22"/>
              </w:rPr>
            </w:pPr>
          </w:p>
        </w:tc>
        <w:tc>
          <w:tcPr>
            <w:tcW w:w="1646" w:type="dxa"/>
          </w:tcPr>
          <w:p w14:paraId="4150857F" w14:textId="77777777" w:rsidR="00006975" w:rsidRPr="00C864AE" w:rsidRDefault="00006975" w:rsidP="009F070E">
            <w:pPr>
              <w:pStyle w:val="BodyText"/>
              <w:ind w:right="115"/>
              <w:rPr>
                <w:rFonts w:eastAsia="Times New Roman"/>
                <w:spacing w:val="-3"/>
                <w:sz w:val="22"/>
                <w:szCs w:val="22"/>
              </w:rPr>
            </w:pPr>
          </w:p>
        </w:tc>
        <w:tc>
          <w:tcPr>
            <w:tcW w:w="1848" w:type="dxa"/>
          </w:tcPr>
          <w:p w14:paraId="491E1DD9" w14:textId="77777777" w:rsidR="00006975" w:rsidRPr="00C864AE" w:rsidRDefault="00006975" w:rsidP="009F070E">
            <w:pPr>
              <w:pStyle w:val="BodyText"/>
              <w:ind w:right="115"/>
              <w:rPr>
                <w:rFonts w:eastAsia="Times New Roman"/>
                <w:spacing w:val="-3"/>
                <w:sz w:val="22"/>
                <w:szCs w:val="22"/>
              </w:rPr>
            </w:pPr>
          </w:p>
        </w:tc>
        <w:tc>
          <w:tcPr>
            <w:tcW w:w="1345" w:type="dxa"/>
          </w:tcPr>
          <w:p w14:paraId="236BD6F7" w14:textId="77777777" w:rsidR="00006975" w:rsidRPr="00C864AE" w:rsidRDefault="00006975" w:rsidP="009F070E">
            <w:pPr>
              <w:pStyle w:val="BodyText"/>
              <w:ind w:right="115"/>
              <w:rPr>
                <w:rFonts w:eastAsia="Times New Roman"/>
                <w:spacing w:val="-3"/>
                <w:sz w:val="22"/>
                <w:szCs w:val="22"/>
              </w:rPr>
            </w:pPr>
          </w:p>
        </w:tc>
      </w:tr>
    </w:tbl>
    <w:p w14:paraId="644ACD49" w14:textId="77777777" w:rsidR="009F070E" w:rsidRPr="00C864AE" w:rsidRDefault="009F070E" w:rsidP="009F070E">
      <w:pPr>
        <w:pStyle w:val="BodyText"/>
        <w:ind w:left="101" w:right="115"/>
        <w:rPr>
          <w:rFonts w:eastAsia="Times New Roman"/>
          <w:spacing w:val="-3"/>
          <w:sz w:val="22"/>
          <w:szCs w:val="22"/>
        </w:rPr>
      </w:pPr>
    </w:p>
    <w:p w14:paraId="03191AD1" w14:textId="77777777" w:rsidR="009F070E" w:rsidRPr="00C864AE" w:rsidRDefault="009F070E">
      <w:pPr>
        <w:rPr>
          <w:rFonts w:ascii="Times New Roman" w:eastAsia="Times New Roman" w:hAnsi="Times New Roman" w:cs="Times New Roman"/>
          <w:spacing w:val="-3"/>
        </w:rPr>
      </w:pPr>
    </w:p>
    <w:sectPr w:rsidR="009F070E" w:rsidRPr="00C864A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AFEA" w14:textId="77777777" w:rsidR="00FA73DE" w:rsidRDefault="00FA73DE" w:rsidP="00CF4658">
      <w:pPr>
        <w:spacing w:after="0" w:line="240" w:lineRule="auto"/>
      </w:pPr>
      <w:r>
        <w:separator/>
      </w:r>
    </w:p>
  </w:endnote>
  <w:endnote w:type="continuationSeparator" w:id="0">
    <w:p w14:paraId="264319A1" w14:textId="77777777" w:rsidR="00FA73DE" w:rsidRDefault="00FA73DE" w:rsidP="00CF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A574" w14:textId="19745B17" w:rsidR="00CF4658" w:rsidRDefault="00CF4658" w:rsidP="00CF4658">
    <w:pPr>
      <w:pStyle w:val="Footer"/>
      <w:jc w:val="right"/>
    </w:pPr>
    <w:r>
      <w:t>V2 10.02.23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6654" w14:textId="77777777" w:rsidR="00FA73DE" w:rsidRDefault="00FA73DE" w:rsidP="00CF4658">
      <w:pPr>
        <w:spacing w:after="0" w:line="240" w:lineRule="auto"/>
      </w:pPr>
      <w:r>
        <w:separator/>
      </w:r>
    </w:p>
  </w:footnote>
  <w:footnote w:type="continuationSeparator" w:id="0">
    <w:p w14:paraId="1840CF05" w14:textId="77777777" w:rsidR="00FA73DE" w:rsidRDefault="00FA73DE" w:rsidP="00CF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00B" w14:textId="77777777" w:rsidR="00CF4658" w:rsidRDefault="00CF4658">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p w14:paraId="7BE28522" w14:textId="77777777" w:rsidR="00CF4658" w:rsidRDefault="00CF46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88"/>
    <w:rsid w:val="00006975"/>
    <w:rsid w:val="00553488"/>
    <w:rsid w:val="00844644"/>
    <w:rsid w:val="009C1F60"/>
    <w:rsid w:val="009F070E"/>
    <w:rsid w:val="00A81CA0"/>
    <w:rsid w:val="00C864AE"/>
    <w:rsid w:val="00CF4658"/>
    <w:rsid w:val="00FA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8F12"/>
  <w15:chartTrackingRefBased/>
  <w15:docId w15:val="{06080694-4E91-41AB-9414-B12559D4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rsid w:val="009F070E"/>
    <w:pPr>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9F070E"/>
    <w:rPr>
      <w:rFonts w:ascii="Times New Roman" w:hAnsi="Times New Roman" w:cs="Times New Roman"/>
      <w:sz w:val="24"/>
      <w:szCs w:val="24"/>
    </w:rPr>
  </w:style>
  <w:style w:type="table" w:styleId="TableGrid">
    <w:name w:val="Table Grid"/>
    <w:basedOn w:val="TableNormal"/>
    <w:uiPriority w:val="39"/>
    <w:rsid w:val="009F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4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658"/>
  </w:style>
  <w:style w:type="paragraph" w:styleId="Footer">
    <w:name w:val="footer"/>
    <w:basedOn w:val="Normal"/>
    <w:link w:val="FooterChar"/>
    <w:uiPriority w:val="99"/>
    <w:unhideWhenUsed/>
    <w:rsid w:val="00CF4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71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UGA Family and Consumer Sciences</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Ramsey</dc:creator>
  <cp:keywords/>
  <dc:description/>
  <cp:lastModifiedBy>Delilah Nageotte</cp:lastModifiedBy>
  <cp:revision>2</cp:revision>
  <dcterms:created xsi:type="dcterms:W3CDTF">2023-10-02T14:48:00Z</dcterms:created>
  <dcterms:modified xsi:type="dcterms:W3CDTF">2023-10-02T14:48:00Z</dcterms:modified>
</cp:coreProperties>
</file>