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6436" w14:textId="140CF997" w:rsidR="00A62884" w:rsidRPr="00A1307D" w:rsidRDefault="6BFDB86D" w:rsidP="1A560A2C">
      <w:pPr>
        <w:jc w:val="center"/>
        <w:rPr>
          <w:b/>
          <w:bCs/>
        </w:rPr>
      </w:pPr>
      <w:r w:rsidRPr="34622E5C">
        <w:rPr>
          <w:b/>
          <w:bCs/>
        </w:rPr>
        <w:t xml:space="preserve">Training for </w:t>
      </w:r>
      <w:r w:rsidR="00A1307D" w:rsidRPr="34622E5C">
        <w:rPr>
          <w:b/>
          <w:bCs/>
        </w:rPr>
        <w:t xml:space="preserve">Peer </w:t>
      </w:r>
      <w:r w:rsidR="1B86DB87" w:rsidRPr="34622E5C">
        <w:rPr>
          <w:b/>
          <w:bCs/>
        </w:rPr>
        <w:t>Observation</w:t>
      </w:r>
      <w:r w:rsidR="00A1307D" w:rsidRPr="34622E5C">
        <w:rPr>
          <w:b/>
          <w:bCs/>
        </w:rPr>
        <w:t xml:space="preserve"> of Teaching</w:t>
      </w:r>
    </w:p>
    <w:p w14:paraId="2BCD64DA" w14:textId="0E9FFD5D" w:rsidR="00A1307D" w:rsidRDefault="00A1307D">
      <w:r>
        <w:t xml:space="preserve">All faculty with a teaching appointment </w:t>
      </w:r>
      <w:r w:rsidR="009819F4">
        <w:t xml:space="preserve">need to have training </w:t>
      </w:r>
      <w:r>
        <w:t xml:space="preserve">in conducting peer </w:t>
      </w:r>
      <w:r w:rsidR="1851BA3B">
        <w:t>observations</w:t>
      </w:r>
      <w:r>
        <w:t xml:space="preserve"> of teaching. The following </w:t>
      </w:r>
      <w:r w:rsidR="75AAEC52">
        <w:t>details show</w:t>
      </w:r>
      <w:r>
        <w:t xml:space="preserve"> how this can be documented. </w:t>
      </w:r>
    </w:p>
    <w:p w14:paraId="01A2D524" w14:textId="6EE94636" w:rsidR="00A1307D" w:rsidRDefault="00A1307D">
      <w:r>
        <w:t xml:space="preserve">If a faculty member has completed any of the following, this would count as being a trained peer teaching </w:t>
      </w:r>
      <w:r w:rsidR="5FCF2CA3">
        <w:t>observer</w:t>
      </w:r>
      <w:r w:rsidR="30000275">
        <w:t xml:space="preserve"> one time.</w:t>
      </w:r>
    </w:p>
    <w:p w14:paraId="5ED786AA" w14:textId="77777777" w:rsidR="00A1307D" w:rsidRDefault="00A1307D" w:rsidP="00A1307D">
      <w:pPr>
        <w:pStyle w:val="ListParagraph"/>
        <w:numPr>
          <w:ilvl w:val="0"/>
          <w:numId w:val="4"/>
        </w:numPr>
      </w:pPr>
      <w:r>
        <w:t>Completion of Lilly Teaching Fellows program</w:t>
      </w:r>
    </w:p>
    <w:p w14:paraId="0D5617A1" w14:textId="77777777" w:rsidR="00A1307D" w:rsidRDefault="00A1307D" w:rsidP="00A1307D">
      <w:pPr>
        <w:pStyle w:val="ListParagraph"/>
        <w:numPr>
          <w:ilvl w:val="0"/>
          <w:numId w:val="4"/>
        </w:numPr>
      </w:pPr>
      <w:r>
        <w:t>Completion of Active Summer Teaching Institute</w:t>
      </w:r>
    </w:p>
    <w:p w14:paraId="3AD541B2" w14:textId="0B0D6FE9" w:rsidR="00A1307D" w:rsidRDefault="00A1307D" w:rsidP="00A1307D">
      <w:pPr>
        <w:pStyle w:val="ListParagraph"/>
        <w:numPr>
          <w:ilvl w:val="0"/>
          <w:numId w:val="4"/>
        </w:numPr>
      </w:pPr>
      <w:r>
        <w:t>Completion of the Teaching Academy</w:t>
      </w:r>
    </w:p>
    <w:p w14:paraId="6D3628A6" w14:textId="0B0D6FE9" w:rsidR="007A2035" w:rsidRDefault="007A2035" w:rsidP="00A1307D">
      <w:pPr>
        <w:pStyle w:val="ListParagraph"/>
        <w:numPr>
          <w:ilvl w:val="0"/>
          <w:numId w:val="4"/>
        </w:numPr>
      </w:pPr>
      <w:r>
        <w:t>Online Learning Fellows</w:t>
      </w:r>
    </w:p>
    <w:p w14:paraId="233AD4F6" w14:textId="563F8F5B" w:rsidR="34622E5C" w:rsidRDefault="07794980" w:rsidP="37F78CA2">
      <w:pPr>
        <w:pStyle w:val="ListParagraph"/>
        <w:numPr>
          <w:ilvl w:val="0"/>
          <w:numId w:val="4"/>
        </w:numPr>
      </w:pPr>
      <w:r>
        <w:t>Completion of Service Learning program</w:t>
      </w:r>
    </w:p>
    <w:p w14:paraId="22462B13" w14:textId="539354D0" w:rsidR="00A1307D" w:rsidRDefault="00A1307D">
      <w:r>
        <w:t>For faculty that have not participated in any of the above</w:t>
      </w:r>
      <w:r w:rsidR="2F9A9D9D">
        <w:t xml:space="preserve"> (or if you used one of those programs as your training in a previous calendar year)</w:t>
      </w:r>
      <w:r>
        <w:t xml:space="preserve">, they will need to undergo </w:t>
      </w:r>
      <w:r w:rsidR="33D9D87C">
        <w:t xml:space="preserve">training for </w:t>
      </w:r>
      <w:r>
        <w:t xml:space="preserve">peer teaching </w:t>
      </w:r>
      <w:r w:rsidR="0E75BC4D">
        <w:t>observation</w:t>
      </w:r>
      <w:r w:rsidR="22A17460">
        <w:t xml:space="preserve"> </w:t>
      </w:r>
      <w:r>
        <w:t>to keep their skills current and be knowledgeable of best practices.</w:t>
      </w:r>
      <w:r w:rsidR="39BC3CBE">
        <w:t xml:space="preserve"> This training needs to occur </w:t>
      </w:r>
      <w:r w:rsidR="279C8810">
        <w:t xml:space="preserve">at least </w:t>
      </w:r>
      <w:r w:rsidR="39BC3CBE">
        <w:t>once per every 5-year period.</w:t>
      </w:r>
      <w:r>
        <w:t xml:space="preserve"> This can be done by: </w:t>
      </w:r>
    </w:p>
    <w:p w14:paraId="372D8233" w14:textId="1C3129EA" w:rsidR="0C499AB8" w:rsidRDefault="0C499AB8" w:rsidP="34622E5C">
      <w:pPr>
        <w:pStyle w:val="ListParagraph"/>
        <w:numPr>
          <w:ilvl w:val="0"/>
          <w:numId w:val="5"/>
        </w:numPr>
      </w:pPr>
      <w:r>
        <w:t>Complet</w:t>
      </w:r>
      <w:r w:rsidR="228BE346">
        <w:t>ing</w:t>
      </w:r>
      <w:r>
        <w:t xml:space="preserve"> one of the programs listed above.</w:t>
      </w:r>
    </w:p>
    <w:p w14:paraId="1108C85A" w14:textId="5E620B43" w:rsidR="007D3925" w:rsidRDefault="00A1307D" w:rsidP="007D3925">
      <w:pPr>
        <w:pStyle w:val="ListParagraph"/>
        <w:numPr>
          <w:ilvl w:val="0"/>
          <w:numId w:val="5"/>
        </w:numPr>
      </w:pPr>
      <w:r>
        <w:t>Complet</w:t>
      </w:r>
      <w:r w:rsidR="04C1E297">
        <w:t>ing</w:t>
      </w:r>
      <w:r>
        <w:t xml:space="preserve"> one or more of the educational opportunities</w:t>
      </w:r>
      <w:r w:rsidR="280DDF9A">
        <w:t xml:space="preserve"> from the list of resources</w:t>
      </w:r>
      <w:r w:rsidR="06673676">
        <w:t xml:space="preserve"> (below).</w:t>
      </w:r>
    </w:p>
    <w:p w14:paraId="0B23711F" w14:textId="1665FBAB" w:rsidR="00A1307D" w:rsidRDefault="007D3925" w:rsidP="007D3925">
      <w:pPr>
        <w:pStyle w:val="ListParagraph"/>
        <w:numPr>
          <w:ilvl w:val="0"/>
          <w:numId w:val="5"/>
        </w:numPr>
      </w:pPr>
      <w:r>
        <w:t>Shadow</w:t>
      </w:r>
      <w:r w:rsidR="7E8E1FAB">
        <w:t>ing</w:t>
      </w:r>
      <w:r>
        <w:t xml:space="preserve"> another instructor conducting a peer teaching </w:t>
      </w:r>
      <w:r w:rsidR="007772C8">
        <w:t>observation</w:t>
      </w:r>
      <w:r>
        <w:t>.</w:t>
      </w:r>
      <w:r w:rsidR="00A1307D">
        <w:t xml:space="preserve"> </w:t>
      </w:r>
    </w:p>
    <w:p w14:paraId="69B759BF" w14:textId="2976C3C9" w:rsidR="00A1307D" w:rsidRDefault="471C6BD7" w:rsidP="34622E5C">
      <w:pPr>
        <w:pStyle w:val="ListParagraph"/>
        <w:numPr>
          <w:ilvl w:val="0"/>
          <w:numId w:val="5"/>
        </w:numPr>
      </w:pPr>
      <w:r>
        <w:t>Attend</w:t>
      </w:r>
      <w:r w:rsidR="37185846">
        <w:t>ing</w:t>
      </w:r>
      <w:r>
        <w:t xml:space="preserve"> a workshop, symposium, or seminar or peer observation of teaching</w:t>
      </w:r>
      <w:r w:rsidR="758F4938">
        <w:t>.</w:t>
      </w:r>
    </w:p>
    <w:p w14:paraId="29DBD53C" w14:textId="542B1FBE" w:rsidR="573D9B80" w:rsidRDefault="573D9B80" w:rsidP="34622E5C">
      <w:pPr>
        <w:rPr>
          <w:u w:val="single"/>
        </w:rPr>
      </w:pPr>
      <w:r w:rsidRPr="7CE2D80C">
        <w:rPr>
          <w:u w:val="single"/>
        </w:rPr>
        <w:t>List of Resources:</w:t>
      </w:r>
    </w:p>
    <w:p w14:paraId="2AB99195" w14:textId="53A02874" w:rsidR="573D9B80" w:rsidRDefault="3888D27E" w:rsidP="7CE2D80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7CE2D80C">
        <w:rPr>
          <w:rFonts w:ascii="Calibri" w:eastAsia="Calibri" w:hAnsi="Calibri" w:cs="Calibri"/>
          <w:color w:val="000000" w:themeColor="text1"/>
        </w:rPr>
        <w:t>Cohen, P.A. &amp; McKeachie, W.J. (1980). The role of colleagues in the evaluation of college teaching. Improving College and University Teaching, 28 (4), 147-154.</w:t>
      </w:r>
    </w:p>
    <w:p w14:paraId="2CBA790A" w14:textId="50F06F52" w:rsidR="573D9B80" w:rsidRDefault="3888D27E" w:rsidP="7CE2D80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7CE2D80C">
        <w:rPr>
          <w:rFonts w:ascii="Calibri" w:eastAsia="Calibri" w:hAnsi="Calibri" w:cs="Calibri"/>
          <w:color w:val="000000" w:themeColor="text1"/>
        </w:rPr>
        <w:t>Chism, N. V. (2007). Peer review of teaching: A sourcebook  (2nd edition). Bolton MA: Anker.</w:t>
      </w:r>
    </w:p>
    <w:p w14:paraId="2BB1E3FE" w14:textId="2EEEFB72" w:rsidR="573D9B80" w:rsidRDefault="3888D27E" w:rsidP="7CE2D80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7CE2D80C">
        <w:rPr>
          <w:rFonts w:ascii="Calibri" w:eastAsia="Calibri" w:hAnsi="Calibri" w:cs="Calibri"/>
          <w:color w:val="000000" w:themeColor="text1"/>
        </w:rPr>
        <w:t>“Collaborative Peer-Supported Review of Teaching” Gosling D. 2014 in Sachs J, Parsell M, eds. Peer Review of Learning and Teaching in Higher Education: International Perspectives, vol. 9 Springer Netherlands.</w:t>
      </w:r>
    </w:p>
    <w:p w14:paraId="0DEBA9F3" w14:textId="3922B46D" w:rsidR="573D9B80" w:rsidRDefault="3888D27E" w:rsidP="7CE2D80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7CE2D80C">
        <w:rPr>
          <w:rFonts w:ascii="Calibri" w:eastAsia="Calibri" w:hAnsi="Calibri" w:cs="Calibri"/>
          <w:color w:val="000000" w:themeColor="text1"/>
        </w:rPr>
        <w:t xml:space="preserve">DePaul University: “Advice for the Observer, the Observed Teaching, and Administrators”. </w:t>
      </w:r>
      <w:hyperlink r:id="rId10">
        <w:r w:rsidR="573D9B80" w:rsidRPr="7CE2D80C">
          <w:rPr>
            <w:rStyle w:val="Hyperlink"/>
            <w:rFonts w:ascii="Calibri" w:eastAsia="Calibri" w:hAnsi="Calibri" w:cs="Calibri"/>
          </w:rPr>
          <w:t>https://resources.depaul.edu/teaching-commons/teaching-guides/reflective-practice/Pages/teaching-observations.aspx</w:t>
        </w:r>
      </w:hyperlink>
    </w:p>
    <w:p w14:paraId="2105DC2D" w14:textId="38D41539" w:rsidR="573D9B80" w:rsidRDefault="573D9B80" w:rsidP="34622E5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34622E5C">
        <w:rPr>
          <w:rFonts w:ascii="Calibri" w:eastAsia="Calibri" w:hAnsi="Calibri" w:cs="Calibri"/>
          <w:color w:val="000000" w:themeColor="text1"/>
        </w:rPr>
        <w:t xml:space="preserve">Looks like Quality Matters training is available through the Office of Online Learning @ UGA to do peer evals for online courses: </w:t>
      </w:r>
      <w:hyperlink r:id="rId11">
        <w:r w:rsidRPr="34622E5C">
          <w:rPr>
            <w:rStyle w:val="Hyperlink"/>
            <w:rFonts w:ascii="Calibri" w:eastAsia="Calibri" w:hAnsi="Calibri" w:cs="Calibri"/>
          </w:rPr>
          <w:t>https://online.uga.edu/node/3424</w:t>
        </w:r>
      </w:hyperlink>
    </w:p>
    <w:p w14:paraId="65F397ED" w14:textId="4B068CA5" w:rsidR="573D9B80" w:rsidRDefault="573D9B80" w:rsidP="34622E5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34622E5C">
        <w:rPr>
          <w:rFonts w:ascii="Calibri" w:eastAsia="Calibri" w:hAnsi="Calibri" w:cs="Calibri"/>
          <w:color w:val="000000" w:themeColor="text1"/>
        </w:rPr>
        <w:t xml:space="preserve">Article to Read: Peer Review of Learning and Teaching in Higher Education. </w:t>
      </w:r>
      <w:hyperlink r:id="rId12">
        <w:r w:rsidRPr="34622E5C">
          <w:rPr>
            <w:rStyle w:val="Hyperlink"/>
            <w:rFonts w:ascii="Calibri" w:eastAsia="Calibri" w:hAnsi="Calibri" w:cs="Calibri"/>
          </w:rPr>
          <w:t>https://link.springer.com/chapter/10.1007/978-94-007-7639-5_2</w:t>
        </w:r>
      </w:hyperlink>
    </w:p>
    <w:p w14:paraId="4FB33B3E" w14:textId="1D82D0BD" w:rsidR="573D9B80" w:rsidRDefault="573D9B80" w:rsidP="34622E5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34622E5C">
        <w:rPr>
          <w:rFonts w:ascii="Calibri" w:eastAsia="Calibri" w:hAnsi="Calibri" w:cs="Calibri"/>
          <w:color w:val="000000" w:themeColor="text1"/>
        </w:rPr>
        <w:t xml:space="preserve">Article to Read: The Role of Colleagues in the Evaluation of College Teaching. </w:t>
      </w:r>
      <w:hyperlink r:id="rId13">
        <w:r w:rsidRPr="34622E5C">
          <w:rPr>
            <w:rStyle w:val="Hyperlink"/>
            <w:rFonts w:ascii="Calibri" w:eastAsia="Calibri" w:hAnsi="Calibri" w:cs="Calibri"/>
          </w:rPr>
          <w:t>https://www.tandfonline.com/doi/abs/10.1080/00193089.1980.10533656?journalCode=vzct20</w:t>
        </w:r>
      </w:hyperlink>
    </w:p>
    <w:p w14:paraId="1EC62110" w14:textId="3D3300E3" w:rsidR="71DCB7DF" w:rsidRDefault="71DCB7DF" w:rsidP="7CE2D80C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7CE2D80C">
        <w:rPr>
          <w:rFonts w:ascii="Calibri" w:eastAsia="Calibri" w:hAnsi="Calibri" w:cs="Calibri"/>
          <w:color w:val="000000" w:themeColor="text1"/>
        </w:rPr>
        <w:t xml:space="preserve">Elon University: Peer Observation of Teaching Resources. </w:t>
      </w:r>
      <w:hyperlink r:id="rId14">
        <w:r w:rsidRPr="7CE2D80C">
          <w:rPr>
            <w:rStyle w:val="Hyperlink"/>
            <w:rFonts w:ascii="Calibri" w:eastAsia="Calibri" w:hAnsi="Calibri" w:cs="Calibri"/>
          </w:rPr>
          <w:t>https://www.elon.edu/u/academics/catl/tlresources/assess-student-learning/peer-observation-of-teaching/</w:t>
        </w:r>
      </w:hyperlink>
    </w:p>
    <w:p w14:paraId="424AE1A2" w14:textId="6012F81C" w:rsidR="34622E5C" w:rsidRDefault="008865A2" w:rsidP="7CE2D80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7CE2D80C">
        <w:rPr>
          <w:rFonts w:eastAsiaTheme="minorEastAsia"/>
          <w:color w:val="000000" w:themeColor="text1"/>
        </w:rPr>
        <w:t xml:space="preserve">University of Michigan: A Protocol for Peer Review of Teaching. </w:t>
      </w:r>
      <w:hyperlink r:id="rId15">
        <w:r w:rsidRPr="7CE2D80C">
          <w:rPr>
            <w:rStyle w:val="Hyperlink"/>
            <w:rFonts w:ascii="Calibri" w:eastAsia="Calibri" w:hAnsi="Calibri" w:cs="Calibri"/>
          </w:rPr>
          <w:t>https://www.engr.ncsu.edu/wp-content/uploads/drive/1nsrTgNg0sR3rNGxZoLhU3cBUzWg1167e/2004-ASEE(Peer%20Review).pdf</w:t>
        </w:r>
      </w:hyperlink>
    </w:p>
    <w:p w14:paraId="2BF46DD9" w14:textId="66FBB5E1" w:rsidR="34622E5C" w:rsidRDefault="371208CF" w:rsidP="7CE2D80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7CE2D80C">
        <w:rPr>
          <w:rFonts w:ascii="Calibri" w:eastAsia="Calibri" w:hAnsi="Calibri" w:cs="Calibri"/>
          <w:color w:val="000000" w:themeColor="text1"/>
        </w:rPr>
        <w:t>TeVal – Transforming Higher Education – Multidimensional Evaluation of Teaching.</w:t>
      </w:r>
      <w:r w:rsidRPr="7CE2D80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hyperlink r:id="rId16">
        <w:r w:rsidRPr="7CE2D80C">
          <w:rPr>
            <w:rStyle w:val="Hyperlink"/>
            <w:rFonts w:ascii="Calibri" w:eastAsia="Calibri" w:hAnsi="Calibri" w:cs="Calibri"/>
          </w:rPr>
          <w:t>https://teval.net/</w:t>
        </w:r>
      </w:hyperlink>
    </w:p>
    <w:sectPr w:rsidR="34622E5C">
      <w:headerReference w:type="default" r:id="rId17"/>
      <w:footerReference w:type="default" r:id="rId1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9247" w14:textId="77777777" w:rsidR="0013045D" w:rsidRDefault="0013045D">
      <w:pPr>
        <w:spacing w:after="0" w:line="240" w:lineRule="auto"/>
      </w:pPr>
      <w:r>
        <w:separator/>
      </w:r>
    </w:p>
  </w:endnote>
  <w:endnote w:type="continuationSeparator" w:id="0">
    <w:p w14:paraId="052BFB02" w14:textId="77777777" w:rsidR="0013045D" w:rsidRDefault="0013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D86AE26" w14:paraId="5EA96DD1" w14:textId="77777777" w:rsidTr="1D86AE26">
      <w:tc>
        <w:tcPr>
          <w:tcW w:w="3360" w:type="dxa"/>
        </w:tcPr>
        <w:p w14:paraId="2D0C9C7C" w14:textId="33A5DC80" w:rsidR="1D86AE26" w:rsidRDefault="1D86AE26" w:rsidP="1D86AE26">
          <w:pPr>
            <w:pStyle w:val="Header"/>
            <w:ind w:left="-115"/>
          </w:pPr>
        </w:p>
      </w:tc>
      <w:tc>
        <w:tcPr>
          <w:tcW w:w="3360" w:type="dxa"/>
        </w:tcPr>
        <w:p w14:paraId="6E83630A" w14:textId="6CBC0EB4" w:rsidR="1D86AE26" w:rsidRDefault="1D86AE26" w:rsidP="1D86AE26">
          <w:pPr>
            <w:pStyle w:val="Header"/>
            <w:jc w:val="center"/>
          </w:pPr>
        </w:p>
      </w:tc>
      <w:tc>
        <w:tcPr>
          <w:tcW w:w="3360" w:type="dxa"/>
        </w:tcPr>
        <w:p w14:paraId="23C43FF7" w14:textId="7C7CC1D7" w:rsidR="1D86AE26" w:rsidRDefault="1D86AE26" w:rsidP="1D86AE26">
          <w:pPr>
            <w:pStyle w:val="Header"/>
            <w:ind w:right="-115"/>
            <w:jc w:val="right"/>
          </w:pPr>
        </w:p>
      </w:tc>
    </w:tr>
  </w:tbl>
  <w:p w14:paraId="1E5EB5C4" w14:textId="125B9D19" w:rsidR="1D86AE26" w:rsidRDefault="1D86AE26" w:rsidP="1D86A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9B6A" w14:textId="77777777" w:rsidR="0013045D" w:rsidRDefault="0013045D">
      <w:pPr>
        <w:spacing w:after="0" w:line="240" w:lineRule="auto"/>
      </w:pPr>
      <w:r>
        <w:separator/>
      </w:r>
    </w:p>
  </w:footnote>
  <w:footnote w:type="continuationSeparator" w:id="0">
    <w:p w14:paraId="28F55267" w14:textId="77777777" w:rsidR="0013045D" w:rsidRDefault="0013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D86AE26" w14:paraId="1894D7DE" w14:textId="77777777" w:rsidTr="1D86AE26">
      <w:tc>
        <w:tcPr>
          <w:tcW w:w="3360" w:type="dxa"/>
        </w:tcPr>
        <w:p w14:paraId="45E8F590" w14:textId="088A53AC" w:rsidR="1D86AE26" w:rsidRDefault="1D86AE26" w:rsidP="1D86AE26">
          <w:pPr>
            <w:pStyle w:val="Header"/>
            <w:ind w:left="-115"/>
          </w:pPr>
        </w:p>
      </w:tc>
      <w:tc>
        <w:tcPr>
          <w:tcW w:w="3360" w:type="dxa"/>
        </w:tcPr>
        <w:p w14:paraId="57B403FB" w14:textId="06680EE7" w:rsidR="1D86AE26" w:rsidRDefault="1D86AE26" w:rsidP="1D86AE26">
          <w:pPr>
            <w:pStyle w:val="Header"/>
            <w:jc w:val="center"/>
          </w:pPr>
        </w:p>
      </w:tc>
      <w:tc>
        <w:tcPr>
          <w:tcW w:w="3360" w:type="dxa"/>
        </w:tcPr>
        <w:p w14:paraId="16972CF0" w14:textId="3FA9C184" w:rsidR="1D86AE26" w:rsidRDefault="1D86AE26" w:rsidP="1D86AE26">
          <w:pPr>
            <w:pStyle w:val="Header"/>
            <w:ind w:right="-115"/>
            <w:jc w:val="right"/>
          </w:pPr>
        </w:p>
      </w:tc>
    </w:tr>
  </w:tbl>
  <w:p w14:paraId="04CF3638" w14:textId="782194B8" w:rsidR="1D86AE26" w:rsidRDefault="1D86AE26" w:rsidP="1D86AE26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961649206" textId="336394647" start="0" length="41" invalidationStart="0" invalidationLength="41" id="16bmqL3C"/>
  </int:Manifest>
  <int:Observations>
    <int:Content id="16bmqL3C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19C2"/>
    <w:multiLevelType w:val="hybridMultilevel"/>
    <w:tmpl w:val="DABAD53C"/>
    <w:lvl w:ilvl="0" w:tplc="0AF0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47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E88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0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0A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A8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83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25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A4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BFB"/>
    <w:multiLevelType w:val="hybridMultilevel"/>
    <w:tmpl w:val="B25A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4427"/>
    <w:multiLevelType w:val="hybridMultilevel"/>
    <w:tmpl w:val="886C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1E85"/>
    <w:multiLevelType w:val="hybridMultilevel"/>
    <w:tmpl w:val="F23EF95C"/>
    <w:lvl w:ilvl="0" w:tplc="0B646DA4">
      <w:start w:val="1"/>
      <w:numFmt w:val="decimal"/>
      <w:lvlText w:val="%1."/>
      <w:lvlJc w:val="left"/>
      <w:pPr>
        <w:ind w:left="720" w:hanging="360"/>
      </w:pPr>
    </w:lvl>
    <w:lvl w:ilvl="1" w:tplc="8DE04526">
      <w:start w:val="1"/>
      <w:numFmt w:val="lowerLetter"/>
      <w:lvlText w:val="%2."/>
      <w:lvlJc w:val="left"/>
      <w:pPr>
        <w:ind w:left="1440" w:hanging="360"/>
      </w:pPr>
    </w:lvl>
    <w:lvl w:ilvl="2" w:tplc="524698A8">
      <w:start w:val="1"/>
      <w:numFmt w:val="lowerRoman"/>
      <w:lvlText w:val="%3."/>
      <w:lvlJc w:val="right"/>
      <w:pPr>
        <w:ind w:left="2160" w:hanging="180"/>
      </w:pPr>
    </w:lvl>
    <w:lvl w:ilvl="3" w:tplc="F8800B0A">
      <w:start w:val="1"/>
      <w:numFmt w:val="decimal"/>
      <w:lvlText w:val="%4."/>
      <w:lvlJc w:val="left"/>
      <w:pPr>
        <w:ind w:left="2880" w:hanging="360"/>
      </w:pPr>
    </w:lvl>
    <w:lvl w:ilvl="4" w:tplc="E7A2F784">
      <w:start w:val="1"/>
      <w:numFmt w:val="lowerLetter"/>
      <w:lvlText w:val="%5."/>
      <w:lvlJc w:val="left"/>
      <w:pPr>
        <w:ind w:left="3600" w:hanging="360"/>
      </w:pPr>
    </w:lvl>
    <w:lvl w:ilvl="5" w:tplc="412214A2">
      <w:start w:val="1"/>
      <w:numFmt w:val="lowerRoman"/>
      <w:lvlText w:val="%6."/>
      <w:lvlJc w:val="right"/>
      <w:pPr>
        <w:ind w:left="4320" w:hanging="180"/>
      </w:pPr>
    </w:lvl>
    <w:lvl w:ilvl="6" w:tplc="D7FEA45C">
      <w:start w:val="1"/>
      <w:numFmt w:val="decimal"/>
      <w:lvlText w:val="%7."/>
      <w:lvlJc w:val="left"/>
      <w:pPr>
        <w:ind w:left="5040" w:hanging="360"/>
      </w:pPr>
    </w:lvl>
    <w:lvl w:ilvl="7" w:tplc="F502CF7C">
      <w:start w:val="1"/>
      <w:numFmt w:val="lowerLetter"/>
      <w:lvlText w:val="%8."/>
      <w:lvlJc w:val="left"/>
      <w:pPr>
        <w:ind w:left="5760" w:hanging="360"/>
      </w:pPr>
    </w:lvl>
    <w:lvl w:ilvl="8" w:tplc="7FE6F9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0719B"/>
    <w:multiLevelType w:val="hybridMultilevel"/>
    <w:tmpl w:val="427AC6D4"/>
    <w:lvl w:ilvl="0" w:tplc="52C850BC">
      <w:start w:val="2"/>
      <w:numFmt w:val="decimal"/>
      <w:lvlText w:val="%1."/>
      <w:lvlJc w:val="left"/>
      <w:pPr>
        <w:ind w:left="720" w:hanging="360"/>
      </w:pPr>
    </w:lvl>
    <w:lvl w:ilvl="1" w:tplc="CC5094BC">
      <w:start w:val="1"/>
      <w:numFmt w:val="lowerLetter"/>
      <w:lvlText w:val="%2."/>
      <w:lvlJc w:val="left"/>
      <w:pPr>
        <w:ind w:left="1440" w:hanging="360"/>
      </w:pPr>
    </w:lvl>
    <w:lvl w:ilvl="2" w:tplc="6EB8E51E">
      <w:start w:val="1"/>
      <w:numFmt w:val="lowerRoman"/>
      <w:lvlText w:val="%3."/>
      <w:lvlJc w:val="right"/>
      <w:pPr>
        <w:ind w:left="2160" w:hanging="180"/>
      </w:pPr>
    </w:lvl>
    <w:lvl w:ilvl="3" w:tplc="4CD6FDA4">
      <w:start w:val="1"/>
      <w:numFmt w:val="decimal"/>
      <w:lvlText w:val="%4."/>
      <w:lvlJc w:val="left"/>
      <w:pPr>
        <w:ind w:left="2880" w:hanging="360"/>
      </w:pPr>
    </w:lvl>
    <w:lvl w:ilvl="4" w:tplc="2FD09FBA">
      <w:start w:val="1"/>
      <w:numFmt w:val="lowerLetter"/>
      <w:lvlText w:val="%5."/>
      <w:lvlJc w:val="left"/>
      <w:pPr>
        <w:ind w:left="3600" w:hanging="360"/>
      </w:pPr>
    </w:lvl>
    <w:lvl w:ilvl="5" w:tplc="2598A3BA">
      <w:start w:val="1"/>
      <w:numFmt w:val="lowerRoman"/>
      <w:lvlText w:val="%6."/>
      <w:lvlJc w:val="right"/>
      <w:pPr>
        <w:ind w:left="4320" w:hanging="180"/>
      </w:pPr>
    </w:lvl>
    <w:lvl w:ilvl="6" w:tplc="B7085C28">
      <w:start w:val="1"/>
      <w:numFmt w:val="decimal"/>
      <w:lvlText w:val="%7."/>
      <w:lvlJc w:val="left"/>
      <w:pPr>
        <w:ind w:left="5040" w:hanging="360"/>
      </w:pPr>
    </w:lvl>
    <w:lvl w:ilvl="7" w:tplc="F3D85AD6">
      <w:start w:val="1"/>
      <w:numFmt w:val="lowerLetter"/>
      <w:lvlText w:val="%8."/>
      <w:lvlJc w:val="left"/>
      <w:pPr>
        <w:ind w:left="5760" w:hanging="360"/>
      </w:pPr>
    </w:lvl>
    <w:lvl w:ilvl="8" w:tplc="372024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7D"/>
    <w:rsid w:val="0013045D"/>
    <w:rsid w:val="0057182A"/>
    <w:rsid w:val="007772C8"/>
    <w:rsid w:val="007A2035"/>
    <w:rsid w:val="007A6F5D"/>
    <w:rsid w:val="007D3925"/>
    <w:rsid w:val="008457D2"/>
    <w:rsid w:val="008865A2"/>
    <w:rsid w:val="008C5BEB"/>
    <w:rsid w:val="009819F4"/>
    <w:rsid w:val="00A1307D"/>
    <w:rsid w:val="00A43B28"/>
    <w:rsid w:val="00A54FC0"/>
    <w:rsid w:val="00A62884"/>
    <w:rsid w:val="00C90236"/>
    <w:rsid w:val="01D32B4D"/>
    <w:rsid w:val="04C1E297"/>
    <w:rsid w:val="06673676"/>
    <w:rsid w:val="07794980"/>
    <w:rsid w:val="08312975"/>
    <w:rsid w:val="0B70B7BD"/>
    <w:rsid w:val="0B83582F"/>
    <w:rsid w:val="0C499AB8"/>
    <w:rsid w:val="0CADABF4"/>
    <w:rsid w:val="0DBD1C06"/>
    <w:rsid w:val="0E75BC4D"/>
    <w:rsid w:val="0FF1E356"/>
    <w:rsid w:val="12EA0989"/>
    <w:rsid w:val="1851BA3B"/>
    <w:rsid w:val="19D1E2C9"/>
    <w:rsid w:val="1A560A2C"/>
    <w:rsid w:val="1B86DB87"/>
    <w:rsid w:val="1C76729A"/>
    <w:rsid w:val="1D6BD0BC"/>
    <w:rsid w:val="1D86AE26"/>
    <w:rsid w:val="21DCF4AE"/>
    <w:rsid w:val="228BE346"/>
    <w:rsid w:val="22A17460"/>
    <w:rsid w:val="22E2DA4D"/>
    <w:rsid w:val="26B1FBDF"/>
    <w:rsid w:val="279C8810"/>
    <w:rsid w:val="280DDF9A"/>
    <w:rsid w:val="298CAC45"/>
    <w:rsid w:val="2F9A9D9D"/>
    <w:rsid w:val="2FC86306"/>
    <w:rsid w:val="30000275"/>
    <w:rsid w:val="317D72CC"/>
    <w:rsid w:val="33D9D87C"/>
    <w:rsid w:val="34622E5C"/>
    <w:rsid w:val="36E2EB48"/>
    <w:rsid w:val="371208CF"/>
    <w:rsid w:val="37185846"/>
    <w:rsid w:val="37F78CA2"/>
    <w:rsid w:val="386A4782"/>
    <w:rsid w:val="3888D27E"/>
    <w:rsid w:val="39561CEF"/>
    <w:rsid w:val="39BC3CBE"/>
    <w:rsid w:val="3A3235C6"/>
    <w:rsid w:val="3EC060A9"/>
    <w:rsid w:val="414FF3FD"/>
    <w:rsid w:val="471C6BD7"/>
    <w:rsid w:val="502C8037"/>
    <w:rsid w:val="514CEF6A"/>
    <w:rsid w:val="56652768"/>
    <w:rsid w:val="573D9B80"/>
    <w:rsid w:val="57B39488"/>
    <w:rsid w:val="581E7E1F"/>
    <w:rsid w:val="5FCF2CA3"/>
    <w:rsid w:val="60647BC9"/>
    <w:rsid w:val="61775887"/>
    <w:rsid w:val="672A474A"/>
    <w:rsid w:val="690B523D"/>
    <w:rsid w:val="6BFDB86D"/>
    <w:rsid w:val="6D1F17E4"/>
    <w:rsid w:val="70D12990"/>
    <w:rsid w:val="71DCB7DF"/>
    <w:rsid w:val="74E364E8"/>
    <w:rsid w:val="758F4938"/>
    <w:rsid w:val="75AAEC52"/>
    <w:rsid w:val="75B3D84D"/>
    <w:rsid w:val="788E906F"/>
    <w:rsid w:val="7B52A66C"/>
    <w:rsid w:val="7C6C9189"/>
    <w:rsid w:val="7CE2D80C"/>
    <w:rsid w:val="7CEE76CD"/>
    <w:rsid w:val="7E8E1FAB"/>
    <w:rsid w:val="7F37F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E342"/>
  <w15:chartTrackingRefBased/>
  <w15:docId w15:val="{9AA54A2E-ADA4-4DEF-BD34-188D0D58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0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3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andfonline.com/doi/abs/10.1080/00193089.1980.10533656?journalCode=vzct20" TargetMode="External"/><Relationship Id="rId18" Type="http://schemas.openxmlformats.org/officeDocument/2006/relationships/footer" Target="footer1.xml"/><Relationship Id="R121f511ba0324521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nk.springer.com/chapter/10.1007/978-94-007-7639-5_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val.n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.uga.edu/node/342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ngr.ncsu.edu/wp-content/uploads/drive/1nsrTgNg0sR3rNGxZoLhU3cBUzWg1167e/2004-ASEE(Peer%20Review).pdf" TargetMode="External"/><Relationship Id="rId10" Type="http://schemas.openxmlformats.org/officeDocument/2006/relationships/hyperlink" Target="https://resources.depaul.edu/teaching-commons/teaching-guides/reflective-practice/Pages/teaching-observations.asp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lon.edu/u/academics/catl/tlresources/assess-student-learning/peer-observation-of-teach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00FCB0648A448AC73A5997C0ABE76" ma:contentTypeVersion="8" ma:contentTypeDescription="Create a new document." ma:contentTypeScope="" ma:versionID="c3d3a5399d589a21d4f99563eb2f5ee4">
  <xsd:schema xmlns:xsd="http://www.w3.org/2001/XMLSchema" xmlns:xs="http://www.w3.org/2001/XMLSchema" xmlns:p="http://schemas.microsoft.com/office/2006/metadata/properties" xmlns:ns3="403916c1-29f1-410f-a3f1-3fb7a0345bc9" xmlns:ns4="d0a892b9-6818-40c9-b64b-dfc82727c023" targetNamespace="http://schemas.microsoft.com/office/2006/metadata/properties" ma:root="true" ma:fieldsID="ab43086200fd8c2dc84f8eec440efccb" ns3:_="" ns4:_="">
    <xsd:import namespace="403916c1-29f1-410f-a3f1-3fb7a0345bc9"/>
    <xsd:import namespace="d0a892b9-6818-40c9-b64b-dfc82727c0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916c1-29f1-410f-a3f1-3fb7a0345b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892b9-6818-40c9-b64b-dfc82727c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55C86-971B-4CE8-8929-D48131F2FA2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d0a892b9-6818-40c9-b64b-dfc82727c023"/>
    <ds:schemaRef ds:uri="403916c1-29f1-410f-a3f1-3fb7a0345b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F10622-B2D7-4E43-93D9-39BFD26B4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4A6D8-A2CF-4320-AC0B-23A19F5F1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916c1-29f1-410f-a3f1-3fb7a0345bc9"/>
    <ds:schemaRef ds:uri="d0a892b9-6818-40c9-b64b-dfc82727c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Worthy</dc:creator>
  <cp:keywords/>
  <dc:description/>
  <cp:lastModifiedBy>Sheri Worthy</cp:lastModifiedBy>
  <cp:revision>3</cp:revision>
  <dcterms:created xsi:type="dcterms:W3CDTF">2022-03-08T14:53:00Z</dcterms:created>
  <dcterms:modified xsi:type="dcterms:W3CDTF">2022-08-24T19:26:00Z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0x010100E6900FCB0648A448AC73A5997C0ABE76</vt:lpwstr>
  </property>
</Properties>
</file>